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16CDB1C4" w14:textId="258E6A03" w:rsidR="00FF129D" w:rsidRDefault="008D55DE" w:rsidP="00DD6566">
                                <w:pPr>
                                  <w:pStyle w:val="NoSpacing"/>
                                  <w:ind w:left="-2250"/>
                                  <w:rPr>
                                    <w:color w:val="0070C0"/>
                                    <w:sz w:val="44"/>
                                    <w:szCs w:val="44"/>
                                  </w:rPr>
                                </w:pPr>
                                <w:r>
                                  <w:rPr>
                                    <w:color w:val="0070C0"/>
                                    <w:sz w:val="44"/>
                                    <w:szCs w:val="44"/>
                                  </w:rPr>
                                  <w:t xml:space="preserve">Firework Display for </w:t>
                                </w:r>
                                <w:r w:rsidR="00FF129D" w:rsidRPr="00FF129D">
                                  <w:rPr>
                                    <w:color w:val="0070C0"/>
                                    <w:sz w:val="44"/>
                                    <w:szCs w:val="44"/>
                                  </w:rPr>
                                  <w:t xml:space="preserve">4th of July </w:t>
                                </w:r>
                                <w:r>
                                  <w:rPr>
                                    <w:color w:val="0070C0"/>
                                    <w:sz w:val="44"/>
                                    <w:szCs w:val="44"/>
                                  </w:rPr>
                                  <w:t>at</w:t>
                                </w:r>
                                <w:r w:rsidR="00FF129D" w:rsidRPr="00FF129D">
                                  <w:rPr>
                                    <w:color w:val="0070C0"/>
                                    <w:sz w:val="44"/>
                                    <w:szCs w:val="44"/>
                                  </w:rPr>
                                  <w:t xml:space="preserve"> Seneca Resorts &amp; Casinos</w:t>
                                </w:r>
                              </w:p>
                              <w:p w14:paraId="10747C18" w14:textId="6649ADEC" w:rsidR="00DD6566" w:rsidRPr="00017F44" w:rsidRDefault="00DD6566" w:rsidP="00DD6566">
                                <w:pPr>
                                  <w:pStyle w:val="NoSpacing"/>
                                  <w:ind w:left="-2250"/>
                                  <w:rPr>
                                    <w:color w:val="0070C0"/>
                                    <w:sz w:val="48"/>
                                    <w:szCs w:val="48"/>
                                    <w:highlight w:val="blue"/>
                                  </w:rPr>
                                </w:pPr>
                                <w:r w:rsidRPr="00936B3F">
                                  <w:rPr>
                                    <w:color w:val="0070C0"/>
                                    <w:sz w:val="48"/>
                                    <w:szCs w:val="48"/>
                                  </w:rPr>
                                  <w:t>RFP #</w:t>
                                </w:r>
                                <w:r w:rsidRPr="00936B3F">
                                  <w:rPr>
                                    <w:color w:val="0070C0"/>
                                    <w:sz w:val="44"/>
                                    <w:szCs w:val="44"/>
                                  </w:rPr>
                                  <w:t xml:space="preserve"> </w:t>
                                </w:r>
                                <w:r w:rsidR="00FF129D" w:rsidRPr="00FF129D">
                                  <w:rPr>
                                    <w:color w:val="0070C0"/>
                                    <w:sz w:val="44"/>
                                    <w:szCs w:val="44"/>
                                  </w:rPr>
                                  <w:t>SGC-0026-26LF</w:t>
                                </w:r>
                              </w:p>
                              <w:p w14:paraId="762F89C5" w14:textId="5250CA0A" w:rsidR="00D72C9A" w:rsidRPr="00BD282F" w:rsidRDefault="00D72C9A" w:rsidP="00E96538">
                                <w:pPr>
                                  <w:pStyle w:val="NoSpacing"/>
                                  <w:jc w:val="right"/>
                                  <w:rPr>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16CDB1C4" w14:textId="258E6A03" w:rsidR="00FF129D" w:rsidRDefault="008D55DE" w:rsidP="00DD6566">
                          <w:pPr>
                            <w:pStyle w:val="NoSpacing"/>
                            <w:ind w:left="-2250"/>
                            <w:rPr>
                              <w:color w:val="0070C0"/>
                              <w:sz w:val="44"/>
                              <w:szCs w:val="44"/>
                            </w:rPr>
                          </w:pPr>
                          <w:r>
                            <w:rPr>
                              <w:color w:val="0070C0"/>
                              <w:sz w:val="44"/>
                              <w:szCs w:val="44"/>
                            </w:rPr>
                            <w:t xml:space="preserve">Firework Display for </w:t>
                          </w:r>
                          <w:r w:rsidR="00FF129D" w:rsidRPr="00FF129D">
                            <w:rPr>
                              <w:color w:val="0070C0"/>
                              <w:sz w:val="44"/>
                              <w:szCs w:val="44"/>
                            </w:rPr>
                            <w:t xml:space="preserve">4th of July </w:t>
                          </w:r>
                          <w:r>
                            <w:rPr>
                              <w:color w:val="0070C0"/>
                              <w:sz w:val="44"/>
                              <w:szCs w:val="44"/>
                            </w:rPr>
                            <w:t>at</w:t>
                          </w:r>
                          <w:r w:rsidR="00FF129D" w:rsidRPr="00FF129D">
                            <w:rPr>
                              <w:color w:val="0070C0"/>
                              <w:sz w:val="44"/>
                              <w:szCs w:val="44"/>
                            </w:rPr>
                            <w:t xml:space="preserve"> Seneca Resorts &amp; Casinos</w:t>
                          </w:r>
                        </w:p>
                        <w:p w14:paraId="10747C18" w14:textId="6649ADEC" w:rsidR="00DD6566" w:rsidRPr="00017F44" w:rsidRDefault="00DD6566" w:rsidP="00DD6566">
                          <w:pPr>
                            <w:pStyle w:val="NoSpacing"/>
                            <w:ind w:left="-2250"/>
                            <w:rPr>
                              <w:color w:val="0070C0"/>
                              <w:sz w:val="48"/>
                              <w:szCs w:val="48"/>
                              <w:highlight w:val="blue"/>
                            </w:rPr>
                          </w:pPr>
                          <w:r w:rsidRPr="00936B3F">
                            <w:rPr>
                              <w:color w:val="0070C0"/>
                              <w:sz w:val="48"/>
                              <w:szCs w:val="48"/>
                            </w:rPr>
                            <w:t>RFP #</w:t>
                          </w:r>
                          <w:r w:rsidRPr="00936B3F">
                            <w:rPr>
                              <w:color w:val="0070C0"/>
                              <w:sz w:val="44"/>
                              <w:szCs w:val="44"/>
                            </w:rPr>
                            <w:t xml:space="preserve"> </w:t>
                          </w:r>
                          <w:r w:rsidR="00FF129D" w:rsidRPr="00FF129D">
                            <w:rPr>
                              <w:color w:val="0070C0"/>
                              <w:sz w:val="44"/>
                              <w:szCs w:val="44"/>
                            </w:rPr>
                            <w:t>SGC-0026-26LF</w:t>
                          </w:r>
                        </w:p>
                        <w:p w14:paraId="762F89C5" w14:textId="5250CA0A" w:rsidR="00D72C9A" w:rsidRPr="00BD282F" w:rsidRDefault="00D72C9A" w:rsidP="00E96538">
                          <w:pPr>
                            <w:pStyle w:val="NoSpacing"/>
                            <w:jc w:val="right"/>
                            <w:rPr>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216CD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3570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025C5F55" w14:textId="57BA8DF3" w:rsidR="0023570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1178152" w:history="1">
            <w:r w:rsidR="00235700" w:rsidRPr="00FD5C7A">
              <w:rPr>
                <w:rStyle w:val="Hyperlink"/>
                <w:noProof/>
              </w:rPr>
              <w:t>I.</w:t>
            </w:r>
            <w:r w:rsidR="00235700">
              <w:rPr>
                <w:rFonts w:eastAsiaTheme="minorEastAsia"/>
                <w:noProof/>
              </w:rPr>
              <w:tab/>
            </w:r>
            <w:r w:rsidR="00235700" w:rsidRPr="00FD5C7A">
              <w:rPr>
                <w:rStyle w:val="Hyperlink"/>
                <w:noProof/>
              </w:rPr>
              <w:t>Introduction</w:t>
            </w:r>
            <w:r w:rsidR="00235700">
              <w:rPr>
                <w:noProof/>
                <w:webHidden/>
              </w:rPr>
              <w:tab/>
            </w:r>
            <w:r w:rsidR="00235700">
              <w:rPr>
                <w:noProof/>
                <w:webHidden/>
              </w:rPr>
              <w:fldChar w:fldCharType="begin"/>
            </w:r>
            <w:r w:rsidR="00235700">
              <w:rPr>
                <w:noProof/>
                <w:webHidden/>
              </w:rPr>
              <w:instrText xml:space="preserve"> PAGEREF _Toc221178152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2CC1EAF7" w14:textId="378A8670" w:rsidR="00235700" w:rsidRDefault="00216CD0">
          <w:pPr>
            <w:pStyle w:val="TOC1"/>
            <w:tabs>
              <w:tab w:val="left" w:pos="440"/>
              <w:tab w:val="right" w:leader="dot" w:pos="9350"/>
            </w:tabs>
            <w:rPr>
              <w:rFonts w:eastAsiaTheme="minorEastAsia"/>
              <w:noProof/>
            </w:rPr>
          </w:pPr>
          <w:hyperlink w:anchor="_Toc221178153" w:history="1">
            <w:r w:rsidR="00235700" w:rsidRPr="00FD5C7A">
              <w:rPr>
                <w:rStyle w:val="Hyperlink"/>
                <w:noProof/>
              </w:rPr>
              <w:t>II.</w:t>
            </w:r>
            <w:r w:rsidR="00235700">
              <w:rPr>
                <w:rFonts w:eastAsiaTheme="minorEastAsia"/>
                <w:noProof/>
              </w:rPr>
              <w:tab/>
            </w:r>
            <w:r w:rsidR="00235700" w:rsidRPr="00FD5C7A">
              <w:rPr>
                <w:rStyle w:val="Hyperlink"/>
                <w:noProof/>
              </w:rPr>
              <w:t>RFP Objective</w:t>
            </w:r>
            <w:r w:rsidR="00235700">
              <w:rPr>
                <w:noProof/>
                <w:webHidden/>
              </w:rPr>
              <w:tab/>
            </w:r>
            <w:r w:rsidR="00235700">
              <w:rPr>
                <w:noProof/>
                <w:webHidden/>
              </w:rPr>
              <w:fldChar w:fldCharType="begin"/>
            </w:r>
            <w:r w:rsidR="00235700">
              <w:rPr>
                <w:noProof/>
                <w:webHidden/>
              </w:rPr>
              <w:instrText xml:space="preserve"> PAGEREF _Toc221178153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265FCA38" w14:textId="01DA8E47" w:rsidR="00235700" w:rsidRDefault="00216CD0">
          <w:pPr>
            <w:pStyle w:val="TOC1"/>
            <w:tabs>
              <w:tab w:val="left" w:pos="660"/>
              <w:tab w:val="right" w:leader="dot" w:pos="9350"/>
            </w:tabs>
            <w:rPr>
              <w:rFonts w:eastAsiaTheme="minorEastAsia"/>
              <w:noProof/>
            </w:rPr>
          </w:pPr>
          <w:hyperlink w:anchor="_Toc221178154" w:history="1">
            <w:r w:rsidR="00235700" w:rsidRPr="00FD5C7A">
              <w:rPr>
                <w:rStyle w:val="Hyperlink"/>
                <w:noProof/>
              </w:rPr>
              <w:t>III.</w:t>
            </w:r>
            <w:r w:rsidR="00235700">
              <w:rPr>
                <w:rFonts w:eastAsiaTheme="minorEastAsia"/>
                <w:noProof/>
              </w:rPr>
              <w:tab/>
            </w:r>
            <w:r w:rsidR="00235700" w:rsidRPr="00FD5C7A">
              <w:rPr>
                <w:rStyle w:val="Hyperlink"/>
                <w:noProof/>
              </w:rPr>
              <w:t>Specifications:</w:t>
            </w:r>
            <w:r w:rsidR="00235700">
              <w:rPr>
                <w:noProof/>
                <w:webHidden/>
              </w:rPr>
              <w:tab/>
            </w:r>
            <w:r w:rsidR="00235700">
              <w:rPr>
                <w:noProof/>
                <w:webHidden/>
              </w:rPr>
              <w:fldChar w:fldCharType="begin"/>
            </w:r>
            <w:r w:rsidR="00235700">
              <w:rPr>
                <w:noProof/>
                <w:webHidden/>
              </w:rPr>
              <w:instrText xml:space="preserve"> PAGEREF _Toc221178154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43DD9192" w14:textId="3E045289" w:rsidR="00235700" w:rsidRDefault="00216CD0">
          <w:pPr>
            <w:pStyle w:val="TOC1"/>
            <w:tabs>
              <w:tab w:val="left" w:pos="660"/>
              <w:tab w:val="right" w:leader="dot" w:pos="9350"/>
            </w:tabs>
            <w:rPr>
              <w:rFonts w:eastAsiaTheme="minorEastAsia"/>
              <w:noProof/>
            </w:rPr>
          </w:pPr>
          <w:hyperlink w:anchor="_Toc221178155" w:history="1">
            <w:r w:rsidR="00235700" w:rsidRPr="00FD5C7A">
              <w:rPr>
                <w:rStyle w:val="Hyperlink"/>
                <w:noProof/>
              </w:rPr>
              <w:t>IV.</w:t>
            </w:r>
            <w:r w:rsidR="00235700">
              <w:rPr>
                <w:rFonts w:eastAsiaTheme="minorEastAsia"/>
                <w:noProof/>
              </w:rPr>
              <w:tab/>
            </w:r>
            <w:r w:rsidR="00235700" w:rsidRPr="00FD5C7A">
              <w:rPr>
                <w:rStyle w:val="Hyperlink"/>
                <w:noProof/>
              </w:rPr>
              <w:t>RFP Administrative Information</w:t>
            </w:r>
            <w:r w:rsidR="00235700">
              <w:rPr>
                <w:noProof/>
                <w:webHidden/>
              </w:rPr>
              <w:tab/>
            </w:r>
            <w:r w:rsidR="00235700">
              <w:rPr>
                <w:noProof/>
                <w:webHidden/>
              </w:rPr>
              <w:fldChar w:fldCharType="begin"/>
            </w:r>
            <w:r w:rsidR="00235700">
              <w:rPr>
                <w:noProof/>
                <w:webHidden/>
              </w:rPr>
              <w:instrText xml:space="preserve"> PAGEREF _Toc221178155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262675F7" w14:textId="4596D9ED" w:rsidR="00235700" w:rsidRDefault="00216CD0">
          <w:pPr>
            <w:pStyle w:val="TOC2"/>
            <w:tabs>
              <w:tab w:val="left" w:pos="660"/>
              <w:tab w:val="right" w:leader="dot" w:pos="9350"/>
            </w:tabs>
            <w:rPr>
              <w:rFonts w:eastAsiaTheme="minorEastAsia"/>
              <w:noProof/>
            </w:rPr>
          </w:pPr>
          <w:hyperlink w:anchor="_Toc221178156" w:history="1">
            <w:r w:rsidR="00235700" w:rsidRPr="00FD5C7A">
              <w:rPr>
                <w:rStyle w:val="Hyperlink"/>
                <w:noProof/>
              </w:rPr>
              <w:t>A.</w:t>
            </w:r>
            <w:r w:rsidR="00235700">
              <w:rPr>
                <w:rFonts w:eastAsiaTheme="minorEastAsia"/>
                <w:noProof/>
              </w:rPr>
              <w:tab/>
            </w:r>
            <w:r w:rsidR="00235700" w:rsidRPr="00FD5C7A">
              <w:rPr>
                <w:rStyle w:val="Hyperlink"/>
                <w:noProof/>
              </w:rPr>
              <w:t>Contact Information</w:t>
            </w:r>
            <w:r w:rsidR="00235700">
              <w:rPr>
                <w:noProof/>
                <w:webHidden/>
              </w:rPr>
              <w:tab/>
            </w:r>
            <w:r w:rsidR="00235700">
              <w:rPr>
                <w:noProof/>
                <w:webHidden/>
              </w:rPr>
              <w:fldChar w:fldCharType="begin"/>
            </w:r>
            <w:r w:rsidR="00235700">
              <w:rPr>
                <w:noProof/>
                <w:webHidden/>
              </w:rPr>
              <w:instrText xml:space="preserve"> PAGEREF _Toc221178156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2C885C19" w14:textId="219A9871" w:rsidR="00235700" w:rsidRDefault="00216CD0">
          <w:pPr>
            <w:pStyle w:val="TOC2"/>
            <w:tabs>
              <w:tab w:val="left" w:pos="660"/>
              <w:tab w:val="right" w:leader="dot" w:pos="9350"/>
            </w:tabs>
            <w:rPr>
              <w:rFonts w:eastAsiaTheme="minorEastAsia"/>
              <w:noProof/>
            </w:rPr>
          </w:pPr>
          <w:hyperlink w:anchor="_Toc221178157" w:history="1">
            <w:r w:rsidR="00235700" w:rsidRPr="00FD5C7A">
              <w:rPr>
                <w:rStyle w:val="Hyperlink"/>
                <w:noProof/>
              </w:rPr>
              <w:t>B.</w:t>
            </w:r>
            <w:r w:rsidR="00235700">
              <w:rPr>
                <w:rFonts w:eastAsiaTheme="minorEastAsia"/>
                <w:noProof/>
              </w:rPr>
              <w:tab/>
            </w:r>
            <w:r w:rsidR="00235700" w:rsidRPr="00FD5C7A">
              <w:rPr>
                <w:rStyle w:val="Hyperlink"/>
                <w:noProof/>
              </w:rPr>
              <w:t>Schedule of Events</w:t>
            </w:r>
            <w:r w:rsidR="00235700">
              <w:rPr>
                <w:noProof/>
                <w:webHidden/>
              </w:rPr>
              <w:tab/>
            </w:r>
            <w:r w:rsidR="00235700">
              <w:rPr>
                <w:noProof/>
                <w:webHidden/>
              </w:rPr>
              <w:fldChar w:fldCharType="begin"/>
            </w:r>
            <w:r w:rsidR="00235700">
              <w:rPr>
                <w:noProof/>
                <w:webHidden/>
              </w:rPr>
              <w:instrText xml:space="preserve"> PAGEREF _Toc221178157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0641FCFC" w14:textId="7D3129CC" w:rsidR="00235700" w:rsidRDefault="00216CD0">
          <w:pPr>
            <w:pStyle w:val="TOC2"/>
            <w:tabs>
              <w:tab w:val="left" w:pos="660"/>
              <w:tab w:val="right" w:leader="dot" w:pos="9350"/>
            </w:tabs>
            <w:rPr>
              <w:rFonts w:eastAsiaTheme="minorEastAsia"/>
              <w:noProof/>
            </w:rPr>
          </w:pPr>
          <w:hyperlink w:anchor="_Toc221178158" w:history="1">
            <w:r w:rsidR="00235700" w:rsidRPr="00FD5C7A">
              <w:rPr>
                <w:rStyle w:val="Hyperlink"/>
                <w:rFonts w:eastAsia="Times New Roman"/>
                <w:noProof/>
              </w:rPr>
              <w:t>C.</w:t>
            </w:r>
            <w:r w:rsidR="00235700">
              <w:rPr>
                <w:rFonts w:eastAsiaTheme="minorEastAsia"/>
                <w:noProof/>
              </w:rPr>
              <w:tab/>
            </w:r>
            <w:r w:rsidR="00235700" w:rsidRPr="00FD5C7A">
              <w:rPr>
                <w:rStyle w:val="Hyperlink"/>
                <w:rFonts w:eastAsia="Times New Roman"/>
                <w:noProof/>
              </w:rPr>
              <w:t>Intent to Bid</w:t>
            </w:r>
            <w:r w:rsidR="00235700">
              <w:rPr>
                <w:noProof/>
                <w:webHidden/>
              </w:rPr>
              <w:tab/>
            </w:r>
            <w:r w:rsidR="00235700">
              <w:rPr>
                <w:noProof/>
                <w:webHidden/>
              </w:rPr>
              <w:fldChar w:fldCharType="begin"/>
            </w:r>
            <w:r w:rsidR="00235700">
              <w:rPr>
                <w:noProof/>
                <w:webHidden/>
              </w:rPr>
              <w:instrText xml:space="preserve"> PAGEREF _Toc221178158 \h </w:instrText>
            </w:r>
            <w:r w:rsidR="00235700">
              <w:rPr>
                <w:noProof/>
                <w:webHidden/>
              </w:rPr>
            </w:r>
            <w:r w:rsidR="00235700">
              <w:rPr>
                <w:noProof/>
                <w:webHidden/>
              </w:rPr>
              <w:fldChar w:fldCharType="separate"/>
            </w:r>
            <w:r w:rsidR="00235700">
              <w:rPr>
                <w:noProof/>
                <w:webHidden/>
              </w:rPr>
              <w:t>2</w:t>
            </w:r>
            <w:r w:rsidR="00235700">
              <w:rPr>
                <w:noProof/>
                <w:webHidden/>
              </w:rPr>
              <w:fldChar w:fldCharType="end"/>
            </w:r>
          </w:hyperlink>
        </w:p>
        <w:p w14:paraId="2C92F11E" w14:textId="12FA7F83" w:rsidR="00235700" w:rsidRDefault="00216CD0">
          <w:pPr>
            <w:pStyle w:val="TOC2"/>
            <w:tabs>
              <w:tab w:val="left" w:pos="660"/>
              <w:tab w:val="right" w:leader="dot" w:pos="9350"/>
            </w:tabs>
            <w:rPr>
              <w:rFonts w:eastAsiaTheme="minorEastAsia"/>
              <w:noProof/>
            </w:rPr>
          </w:pPr>
          <w:hyperlink w:anchor="_Toc221178159" w:history="1">
            <w:r w:rsidR="00235700" w:rsidRPr="00FD5C7A">
              <w:rPr>
                <w:rStyle w:val="Hyperlink"/>
                <w:rFonts w:eastAsia="Times New Roman"/>
                <w:noProof/>
              </w:rPr>
              <w:t>D.</w:t>
            </w:r>
            <w:r w:rsidR="00235700">
              <w:rPr>
                <w:rFonts w:eastAsiaTheme="minorEastAsia"/>
                <w:noProof/>
              </w:rPr>
              <w:tab/>
            </w:r>
            <w:r w:rsidR="00235700" w:rsidRPr="00FD5C7A">
              <w:rPr>
                <w:rStyle w:val="Hyperlink"/>
                <w:rFonts w:eastAsia="Times New Roman"/>
                <w:noProof/>
              </w:rPr>
              <w:t>Bidder Questions</w:t>
            </w:r>
            <w:r w:rsidR="00235700">
              <w:rPr>
                <w:noProof/>
                <w:webHidden/>
              </w:rPr>
              <w:tab/>
            </w:r>
            <w:r w:rsidR="00235700">
              <w:rPr>
                <w:noProof/>
                <w:webHidden/>
              </w:rPr>
              <w:fldChar w:fldCharType="begin"/>
            </w:r>
            <w:r w:rsidR="00235700">
              <w:rPr>
                <w:noProof/>
                <w:webHidden/>
              </w:rPr>
              <w:instrText xml:space="preserve"> PAGEREF _Toc221178159 \h </w:instrText>
            </w:r>
            <w:r w:rsidR="00235700">
              <w:rPr>
                <w:noProof/>
                <w:webHidden/>
              </w:rPr>
            </w:r>
            <w:r w:rsidR="00235700">
              <w:rPr>
                <w:noProof/>
                <w:webHidden/>
              </w:rPr>
              <w:fldChar w:fldCharType="separate"/>
            </w:r>
            <w:r w:rsidR="00235700">
              <w:rPr>
                <w:noProof/>
                <w:webHidden/>
              </w:rPr>
              <w:t>3</w:t>
            </w:r>
            <w:r w:rsidR="00235700">
              <w:rPr>
                <w:noProof/>
                <w:webHidden/>
              </w:rPr>
              <w:fldChar w:fldCharType="end"/>
            </w:r>
          </w:hyperlink>
        </w:p>
        <w:p w14:paraId="1C38CDC3" w14:textId="4D35A419" w:rsidR="00235700" w:rsidRDefault="00216CD0">
          <w:pPr>
            <w:pStyle w:val="TOC2"/>
            <w:tabs>
              <w:tab w:val="left" w:pos="660"/>
              <w:tab w:val="right" w:leader="dot" w:pos="9350"/>
            </w:tabs>
            <w:rPr>
              <w:rFonts w:eastAsiaTheme="minorEastAsia"/>
              <w:noProof/>
            </w:rPr>
          </w:pPr>
          <w:hyperlink w:anchor="_Toc221178160" w:history="1">
            <w:r w:rsidR="00235700" w:rsidRPr="00FD5C7A">
              <w:rPr>
                <w:rStyle w:val="Hyperlink"/>
                <w:rFonts w:eastAsia="Times New Roman"/>
                <w:noProof/>
              </w:rPr>
              <w:t>E.</w:t>
            </w:r>
            <w:r w:rsidR="00235700">
              <w:rPr>
                <w:rFonts w:eastAsiaTheme="minorEastAsia"/>
                <w:noProof/>
              </w:rPr>
              <w:tab/>
            </w:r>
            <w:r w:rsidR="00235700" w:rsidRPr="00FD5C7A">
              <w:rPr>
                <w:rStyle w:val="Hyperlink"/>
                <w:rFonts w:eastAsia="Times New Roman"/>
                <w:noProof/>
              </w:rPr>
              <w:t>Submission of Proposals</w:t>
            </w:r>
            <w:r w:rsidR="00235700">
              <w:rPr>
                <w:noProof/>
                <w:webHidden/>
              </w:rPr>
              <w:tab/>
            </w:r>
            <w:r w:rsidR="00235700">
              <w:rPr>
                <w:noProof/>
                <w:webHidden/>
              </w:rPr>
              <w:fldChar w:fldCharType="begin"/>
            </w:r>
            <w:r w:rsidR="00235700">
              <w:rPr>
                <w:noProof/>
                <w:webHidden/>
              </w:rPr>
              <w:instrText xml:space="preserve"> PAGEREF _Toc221178160 \h </w:instrText>
            </w:r>
            <w:r w:rsidR="00235700">
              <w:rPr>
                <w:noProof/>
                <w:webHidden/>
              </w:rPr>
            </w:r>
            <w:r w:rsidR="00235700">
              <w:rPr>
                <w:noProof/>
                <w:webHidden/>
              </w:rPr>
              <w:fldChar w:fldCharType="separate"/>
            </w:r>
            <w:r w:rsidR="00235700">
              <w:rPr>
                <w:noProof/>
                <w:webHidden/>
              </w:rPr>
              <w:t>3</w:t>
            </w:r>
            <w:r w:rsidR="00235700">
              <w:rPr>
                <w:noProof/>
                <w:webHidden/>
              </w:rPr>
              <w:fldChar w:fldCharType="end"/>
            </w:r>
          </w:hyperlink>
        </w:p>
        <w:p w14:paraId="4A3A7EB7" w14:textId="62E089B2" w:rsidR="00235700" w:rsidRDefault="00216CD0">
          <w:pPr>
            <w:pStyle w:val="TOC2"/>
            <w:tabs>
              <w:tab w:val="left" w:pos="660"/>
              <w:tab w:val="right" w:leader="dot" w:pos="9350"/>
            </w:tabs>
            <w:rPr>
              <w:rFonts w:eastAsiaTheme="minorEastAsia"/>
              <w:noProof/>
            </w:rPr>
          </w:pPr>
          <w:hyperlink w:anchor="_Toc221178161" w:history="1">
            <w:r w:rsidR="00235700" w:rsidRPr="00FD5C7A">
              <w:rPr>
                <w:rStyle w:val="Hyperlink"/>
                <w:rFonts w:eastAsia="Times New Roman"/>
                <w:noProof/>
              </w:rPr>
              <w:t>F.</w:t>
            </w:r>
            <w:r w:rsidR="00235700">
              <w:rPr>
                <w:rFonts w:eastAsiaTheme="minorEastAsia"/>
                <w:noProof/>
              </w:rPr>
              <w:tab/>
            </w:r>
            <w:r w:rsidR="00235700" w:rsidRPr="00FD5C7A">
              <w:rPr>
                <w:rStyle w:val="Hyperlink"/>
                <w:rFonts w:eastAsia="Times New Roman"/>
                <w:noProof/>
              </w:rPr>
              <w:t>Proposal Format</w:t>
            </w:r>
            <w:r w:rsidR="00235700">
              <w:rPr>
                <w:noProof/>
                <w:webHidden/>
              </w:rPr>
              <w:tab/>
            </w:r>
            <w:r w:rsidR="00235700">
              <w:rPr>
                <w:noProof/>
                <w:webHidden/>
              </w:rPr>
              <w:fldChar w:fldCharType="begin"/>
            </w:r>
            <w:r w:rsidR="00235700">
              <w:rPr>
                <w:noProof/>
                <w:webHidden/>
              </w:rPr>
              <w:instrText xml:space="preserve"> PAGEREF _Toc221178161 \h </w:instrText>
            </w:r>
            <w:r w:rsidR="00235700">
              <w:rPr>
                <w:noProof/>
                <w:webHidden/>
              </w:rPr>
            </w:r>
            <w:r w:rsidR="00235700">
              <w:rPr>
                <w:noProof/>
                <w:webHidden/>
              </w:rPr>
              <w:fldChar w:fldCharType="separate"/>
            </w:r>
            <w:r w:rsidR="00235700">
              <w:rPr>
                <w:noProof/>
                <w:webHidden/>
              </w:rPr>
              <w:t>3</w:t>
            </w:r>
            <w:r w:rsidR="00235700">
              <w:rPr>
                <w:noProof/>
                <w:webHidden/>
              </w:rPr>
              <w:fldChar w:fldCharType="end"/>
            </w:r>
          </w:hyperlink>
        </w:p>
        <w:p w14:paraId="411C1A42" w14:textId="789CC3D5" w:rsidR="00235700" w:rsidRDefault="00216CD0">
          <w:pPr>
            <w:pStyle w:val="TOC2"/>
            <w:tabs>
              <w:tab w:val="left" w:pos="660"/>
              <w:tab w:val="right" w:leader="dot" w:pos="9350"/>
            </w:tabs>
            <w:rPr>
              <w:rFonts w:eastAsiaTheme="minorEastAsia"/>
              <w:noProof/>
            </w:rPr>
          </w:pPr>
          <w:hyperlink w:anchor="_Toc221178162" w:history="1">
            <w:r w:rsidR="00235700" w:rsidRPr="00FD5C7A">
              <w:rPr>
                <w:rStyle w:val="Hyperlink"/>
                <w:rFonts w:eastAsia="Times New Roman"/>
                <w:noProof/>
              </w:rPr>
              <w:t>G.</w:t>
            </w:r>
            <w:r w:rsidR="00235700">
              <w:rPr>
                <w:rFonts w:eastAsiaTheme="minorEastAsia"/>
                <w:noProof/>
              </w:rPr>
              <w:tab/>
            </w:r>
            <w:r w:rsidR="00235700" w:rsidRPr="00FD5C7A">
              <w:rPr>
                <w:rStyle w:val="Hyperlink"/>
                <w:rFonts w:eastAsia="Times New Roman"/>
                <w:noProof/>
              </w:rPr>
              <w:t>Conditions</w:t>
            </w:r>
            <w:r w:rsidR="00235700">
              <w:rPr>
                <w:noProof/>
                <w:webHidden/>
              </w:rPr>
              <w:tab/>
            </w:r>
            <w:r w:rsidR="00235700">
              <w:rPr>
                <w:noProof/>
                <w:webHidden/>
              </w:rPr>
              <w:fldChar w:fldCharType="begin"/>
            </w:r>
            <w:r w:rsidR="00235700">
              <w:rPr>
                <w:noProof/>
                <w:webHidden/>
              </w:rPr>
              <w:instrText xml:space="preserve"> PAGEREF _Toc221178162 \h </w:instrText>
            </w:r>
            <w:r w:rsidR="00235700">
              <w:rPr>
                <w:noProof/>
                <w:webHidden/>
              </w:rPr>
            </w:r>
            <w:r w:rsidR="00235700">
              <w:rPr>
                <w:noProof/>
                <w:webHidden/>
              </w:rPr>
              <w:fldChar w:fldCharType="separate"/>
            </w:r>
            <w:r w:rsidR="00235700">
              <w:rPr>
                <w:noProof/>
                <w:webHidden/>
              </w:rPr>
              <w:t>4</w:t>
            </w:r>
            <w:r w:rsidR="00235700">
              <w:rPr>
                <w:noProof/>
                <w:webHidden/>
              </w:rPr>
              <w:fldChar w:fldCharType="end"/>
            </w:r>
          </w:hyperlink>
        </w:p>
        <w:p w14:paraId="6E281F67" w14:textId="16311091" w:rsidR="00235700" w:rsidRDefault="00216CD0">
          <w:pPr>
            <w:pStyle w:val="TOC2"/>
            <w:tabs>
              <w:tab w:val="left" w:pos="660"/>
              <w:tab w:val="right" w:leader="dot" w:pos="9350"/>
            </w:tabs>
            <w:rPr>
              <w:rFonts w:eastAsiaTheme="minorEastAsia"/>
              <w:noProof/>
            </w:rPr>
          </w:pPr>
          <w:hyperlink w:anchor="_Toc221178163" w:history="1">
            <w:r w:rsidR="00235700" w:rsidRPr="00FD5C7A">
              <w:rPr>
                <w:rStyle w:val="Hyperlink"/>
                <w:rFonts w:eastAsia="Times New Roman"/>
                <w:noProof/>
              </w:rPr>
              <w:t>H.</w:t>
            </w:r>
            <w:r w:rsidR="00235700">
              <w:rPr>
                <w:rFonts w:eastAsiaTheme="minorEastAsia"/>
                <w:noProof/>
              </w:rPr>
              <w:tab/>
            </w:r>
            <w:r w:rsidR="00235700" w:rsidRPr="00FD5C7A">
              <w:rPr>
                <w:rStyle w:val="Hyperlink"/>
                <w:rFonts w:eastAsia="Times New Roman"/>
                <w:noProof/>
              </w:rPr>
              <w:t>Proposal Evaluation/Vendor Selection</w:t>
            </w:r>
            <w:r w:rsidR="00235700">
              <w:rPr>
                <w:noProof/>
                <w:webHidden/>
              </w:rPr>
              <w:tab/>
            </w:r>
            <w:r w:rsidR="00235700">
              <w:rPr>
                <w:noProof/>
                <w:webHidden/>
              </w:rPr>
              <w:fldChar w:fldCharType="begin"/>
            </w:r>
            <w:r w:rsidR="00235700">
              <w:rPr>
                <w:noProof/>
                <w:webHidden/>
              </w:rPr>
              <w:instrText xml:space="preserve"> PAGEREF _Toc221178163 \h </w:instrText>
            </w:r>
            <w:r w:rsidR="00235700">
              <w:rPr>
                <w:noProof/>
                <w:webHidden/>
              </w:rPr>
            </w:r>
            <w:r w:rsidR="00235700">
              <w:rPr>
                <w:noProof/>
                <w:webHidden/>
              </w:rPr>
              <w:fldChar w:fldCharType="separate"/>
            </w:r>
            <w:r w:rsidR="00235700">
              <w:rPr>
                <w:noProof/>
                <w:webHidden/>
              </w:rPr>
              <w:t>5</w:t>
            </w:r>
            <w:r w:rsidR="00235700">
              <w:rPr>
                <w:noProof/>
                <w:webHidden/>
              </w:rPr>
              <w:fldChar w:fldCharType="end"/>
            </w:r>
          </w:hyperlink>
        </w:p>
        <w:p w14:paraId="1449B2EC" w14:textId="5796273A" w:rsidR="00235700" w:rsidRDefault="00216CD0">
          <w:pPr>
            <w:pStyle w:val="TOC2"/>
            <w:tabs>
              <w:tab w:val="left" w:pos="660"/>
              <w:tab w:val="right" w:leader="dot" w:pos="9350"/>
            </w:tabs>
            <w:rPr>
              <w:rFonts w:eastAsiaTheme="minorEastAsia"/>
              <w:noProof/>
            </w:rPr>
          </w:pPr>
          <w:hyperlink w:anchor="_Toc221178164" w:history="1">
            <w:r w:rsidR="00235700" w:rsidRPr="00FD5C7A">
              <w:rPr>
                <w:rStyle w:val="Hyperlink"/>
                <w:rFonts w:eastAsia="Times New Roman"/>
                <w:noProof/>
              </w:rPr>
              <w:t>I.</w:t>
            </w:r>
            <w:r w:rsidR="00235700">
              <w:rPr>
                <w:rFonts w:eastAsiaTheme="minorEastAsia"/>
                <w:noProof/>
              </w:rPr>
              <w:tab/>
            </w:r>
            <w:r w:rsidR="00235700" w:rsidRPr="00FD5C7A">
              <w:rPr>
                <w:rStyle w:val="Hyperlink"/>
                <w:rFonts w:eastAsia="Times New Roman"/>
                <w:noProof/>
              </w:rPr>
              <w:t>General Bidder Information</w:t>
            </w:r>
            <w:r w:rsidR="00235700">
              <w:rPr>
                <w:noProof/>
                <w:webHidden/>
              </w:rPr>
              <w:tab/>
            </w:r>
            <w:r w:rsidR="00235700">
              <w:rPr>
                <w:noProof/>
                <w:webHidden/>
              </w:rPr>
              <w:fldChar w:fldCharType="begin"/>
            </w:r>
            <w:r w:rsidR="00235700">
              <w:rPr>
                <w:noProof/>
                <w:webHidden/>
              </w:rPr>
              <w:instrText xml:space="preserve"> PAGEREF _Toc221178164 \h </w:instrText>
            </w:r>
            <w:r w:rsidR="00235700">
              <w:rPr>
                <w:noProof/>
                <w:webHidden/>
              </w:rPr>
            </w:r>
            <w:r w:rsidR="00235700">
              <w:rPr>
                <w:noProof/>
                <w:webHidden/>
              </w:rPr>
              <w:fldChar w:fldCharType="separate"/>
            </w:r>
            <w:r w:rsidR="00235700">
              <w:rPr>
                <w:noProof/>
                <w:webHidden/>
              </w:rPr>
              <w:t>5</w:t>
            </w:r>
            <w:r w:rsidR="00235700">
              <w:rPr>
                <w:noProof/>
                <w:webHidden/>
              </w:rPr>
              <w:fldChar w:fldCharType="end"/>
            </w:r>
          </w:hyperlink>
        </w:p>
        <w:p w14:paraId="6A61CEFD" w14:textId="7A27D278" w:rsidR="00235700" w:rsidRDefault="00216CD0">
          <w:pPr>
            <w:pStyle w:val="TOC2"/>
            <w:tabs>
              <w:tab w:val="left" w:pos="660"/>
              <w:tab w:val="right" w:leader="dot" w:pos="9350"/>
            </w:tabs>
            <w:rPr>
              <w:rFonts w:eastAsiaTheme="minorEastAsia"/>
              <w:noProof/>
            </w:rPr>
          </w:pPr>
          <w:hyperlink w:anchor="_Toc221178165" w:history="1">
            <w:r w:rsidR="00235700" w:rsidRPr="00FD5C7A">
              <w:rPr>
                <w:rStyle w:val="Hyperlink"/>
                <w:rFonts w:eastAsia="Times New Roman"/>
                <w:noProof/>
              </w:rPr>
              <w:t>J.</w:t>
            </w:r>
            <w:r w:rsidR="00235700">
              <w:rPr>
                <w:rFonts w:eastAsiaTheme="minorEastAsia"/>
                <w:noProof/>
              </w:rPr>
              <w:tab/>
            </w:r>
            <w:r w:rsidR="00235700" w:rsidRPr="00FD5C7A">
              <w:rPr>
                <w:rStyle w:val="Hyperlink"/>
                <w:rFonts w:eastAsia="Times New Roman"/>
                <w:noProof/>
              </w:rPr>
              <w:t>SGC Standard Terms and Conditions</w:t>
            </w:r>
            <w:r w:rsidR="00235700">
              <w:rPr>
                <w:noProof/>
                <w:webHidden/>
              </w:rPr>
              <w:tab/>
            </w:r>
            <w:r w:rsidR="00235700">
              <w:rPr>
                <w:noProof/>
                <w:webHidden/>
              </w:rPr>
              <w:fldChar w:fldCharType="begin"/>
            </w:r>
            <w:r w:rsidR="00235700">
              <w:rPr>
                <w:noProof/>
                <w:webHidden/>
              </w:rPr>
              <w:instrText xml:space="preserve"> PAGEREF _Toc221178165 \h </w:instrText>
            </w:r>
            <w:r w:rsidR="00235700">
              <w:rPr>
                <w:noProof/>
                <w:webHidden/>
              </w:rPr>
            </w:r>
            <w:r w:rsidR="00235700">
              <w:rPr>
                <w:noProof/>
                <w:webHidden/>
              </w:rPr>
              <w:fldChar w:fldCharType="separate"/>
            </w:r>
            <w:r w:rsidR="00235700">
              <w:rPr>
                <w:noProof/>
                <w:webHidden/>
              </w:rPr>
              <w:t>6</w:t>
            </w:r>
            <w:r w:rsidR="00235700">
              <w:rPr>
                <w:noProof/>
                <w:webHidden/>
              </w:rPr>
              <w:fldChar w:fldCharType="end"/>
            </w:r>
          </w:hyperlink>
        </w:p>
        <w:p w14:paraId="454EB626" w14:textId="09683CDC" w:rsidR="00235700" w:rsidRDefault="00216CD0">
          <w:pPr>
            <w:pStyle w:val="TOC1"/>
            <w:tabs>
              <w:tab w:val="left" w:pos="440"/>
              <w:tab w:val="right" w:leader="dot" w:pos="9350"/>
            </w:tabs>
            <w:rPr>
              <w:rFonts w:eastAsiaTheme="minorEastAsia"/>
              <w:noProof/>
            </w:rPr>
          </w:pPr>
          <w:hyperlink w:anchor="_Toc221178166" w:history="1">
            <w:r w:rsidR="00235700" w:rsidRPr="00FD5C7A">
              <w:rPr>
                <w:rStyle w:val="Hyperlink"/>
                <w:rFonts w:eastAsia="Times New Roman"/>
                <w:noProof/>
              </w:rPr>
              <w:t>V.</w:t>
            </w:r>
            <w:r w:rsidR="00235700">
              <w:rPr>
                <w:rFonts w:eastAsiaTheme="minorEastAsia"/>
                <w:noProof/>
              </w:rPr>
              <w:tab/>
            </w:r>
            <w:r w:rsidR="00235700" w:rsidRPr="00FD5C7A">
              <w:rPr>
                <w:rStyle w:val="Hyperlink"/>
                <w:rFonts w:eastAsia="Times New Roman"/>
                <w:noProof/>
              </w:rPr>
              <w:t>Provisions Applicable to the Contract</w:t>
            </w:r>
            <w:r w:rsidR="00235700">
              <w:rPr>
                <w:noProof/>
                <w:webHidden/>
              </w:rPr>
              <w:tab/>
            </w:r>
            <w:r w:rsidR="00235700">
              <w:rPr>
                <w:noProof/>
                <w:webHidden/>
              </w:rPr>
              <w:fldChar w:fldCharType="begin"/>
            </w:r>
            <w:r w:rsidR="00235700">
              <w:rPr>
                <w:noProof/>
                <w:webHidden/>
              </w:rPr>
              <w:instrText xml:space="preserve"> PAGEREF _Toc221178166 \h </w:instrText>
            </w:r>
            <w:r w:rsidR="00235700">
              <w:rPr>
                <w:noProof/>
                <w:webHidden/>
              </w:rPr>
            </w:r>
            <w:r w:rsidR="00235700">
              <w:rPr>
                <w:noProof/>
                <w:webHidden/>
              </w:rPr>
              <w:fldChar w:fldCharType="separate"/>
            </w:r>
            <w:r w:rsidR="00235700">
              <w:rPr>
                <w:noProof/>
                <w:webHidden/>
              </w:rPr>
              <w:t>6</w:t>
            </w:r>
            <w:r w:rsidR="00235700">
              <w:rPr>
                <w:noProof/>
                <w:webHidden/>
              </w:rPr>
              <w:fldChar w:fldCharType="end"/>
            </w:r>
          </w:hyperlink>
        </w:p>
        <w:p w14:paraId="77AE9B67" w14:textId="529DE6AB" w:rsidR="00235700" w:rsidRDefault="00216CD0">
          <w:pPr>
            <w:pStyle w:val="TOC2"/>
            <w:tabs>
              <w:tab w:val="left" w:pos="660"/>
              <w:tab w:val="right" w:leader="dot" w:pos="9350"/>
            </w:tabs>
            <w:rPr>
              <w:rFonts w:eastAsiaTheme="minorEastAsia"/>
              <w:noProof/>
            </w:rPr>
          </w:pPr>
          <w:hyperlink w:anchor="_Toc221178167" w:history="1">
            <w:r w:rsidR="00235700" w:rsidRPr="00FD5C7A">
              <w:rPr>
                <w:rStyle w:val="Hyperlink"/>
                <w:rFonts w:eastAsia="Times New Roman"/>
                <w:noProof/>
              </w:rPr>
              <w:t>A.</w:t>
            </w:r>
            <w:r w:rsidR="00235700">
              <w:rPr>
                <w:rFonts w:eastAsiaTheme="minorEastAsia"/>
                <w:noProof/>
              </w:rPr>
              <w:tab/>
            </w:r>
            <w:r w:rsidR="00235700" w:rsidRPr="00FD5C7A">
              <w:rPr>
                <w:rStyle w:val="Hyperlink"/>
                <w:rFonts w:eastAsia="Times New Roman"/>
                <w:noProof/>
              </w:rPr>
              <w:t>Agreement Term</w:t>
            </w:r>
            <w:r w:rsidR="00235700">
              <w:rPr>
                <w:noProof/>
                <w:webHidden/>
              </w:rPr>
              <w:tab/>
            </w:r>
            <w:r w:rsidR="00235700">
              <w:rPr>
                <w:noProof/>
                <w:webHidden/>
              </w:rPr>
              <w:fldChar w:fldCharType="begin"/>
            </w:r>
            <w:r w:rsidR="00235700">
              <w:rPr>
                <w:noProof/>
                <w:webHidden/>
              </w:rPr>
              <w:instrText xml:space="preserve"> PAGEREF _Toc221178167 \h </w:instrText>
            </w:r>
            <w:r w:rsidR="00235700">
              <w:rPr>
                <w:noProof/>
                <w:webHidden/>
              </w:rPr>
            </w:r>
            <w:r w:rsidR="00235700">
              <w:rPr>
                <w:noProof/>
                <w:webHidden/>
              </w:rPr>
              <w:fldChar w:fldCharType="separate"/>
            </w:r>
            <w:r w:rsidR="00235700">
              <w:rPr>
                <w:noProof/>
                <w:webHidden/>
              </w:rPr>
              <w:t>6</w:t>
            </w:r>
            <w:r w:rsidR="00235700">
              <w:rPr>
                <w:noProof/>
                <w:webHidden/>
              </w:rPr>
              <w:fldChar w:fldCharType="end"/>
            </w:r>
          </w:hyperlink>
        </w:p>
        <w:p w14:paraId="008CC930" w14:textId="7C1DFE5D" w:rsidR="00235700" w:rsidRDefault="00216CD0">
          <w:pPr>
            <w:pStyle w:val="TOC2"/>
            <w:tabs>
              <w:tab w:val="left" w:pos="660"/>
              <w:tab w:val="right" w:leader="dot" w:pos="9350"/>
            </w:tabs>
            <w:rPr>
              <w:rFonts w:eastAsiaTheme="minorEastAsia"/>
              <w:noProof/>
            </w:rPr>
          </w:pPr>
          <w:hyperlink w:anchor="_Toc221178168" w:history="1">
            <w:r w:rsidR="00235700" w:rsidRPr="00FD5C7A">
              <w:rPr>
                <w:rStyle w:val="Hyperlink"/>
                <w:noProof/>
              </w:rPr>
              <w:t>B.</w:t>
            </w:r>
            <w:r w:rsidR="00235700">
              <w:rPr>
                <w:rFonts w:eastAsiaTheme="minorEastAsia"/>
                <w:noProof/>
              </w:rPr>
              <w:tab/>
            </w:r>
            <w:r w:rsidR="00235700" w:rsidRPr="00FD5C7A">
              <w:rPr>
                <w:rStyle w:val="Hyperlink"/>
                <w:noProof/>
              </w:rPr>
              <w:t>Price/Fee Structure</w:t>
            </w:r>
            <w:r w:rsidR="00235700">
              <w:rPr>
                <w:noProof/>
                <w:webHidden/>
              </w:rPr>
              <w:tab/>
            </w:r>
            <w:r w:rsidR="00235700">
              <w:rPr>
                <w:noProof/>
                <w:webHidden/>
              </w:rPr>
              <w:fldChar w:fldCharType="begin"/>
            </w:r>
            <w:r w:rsidR="00235700">
              <w:rPr>
                <w:noProof/>
                <w:webHidden/>
              </w:rPr>
              <w:instrText xml:space="preserve"> PAGEREF _Toc221178168 \h </w:instrText>
            </w:r>
            <w:r w:rsidR="00235700">
              <w:rPr>
                <w:noProof/>
                <w:webHidden/>
              </w:rPr>
            </w:r>
            <w:r w:rsidR="00235700">
              <w:rPr>
                <w:noProof/>
                <w:webHidden/>
              </w:rPr>
              <w:fldChar w:fldCharType="separate"/>
            </w:r>
            <w:r w:rsidR="00235700">
              <w:rPr>
                <w:noProof/>
                <w:webHidden/>
              </w:rPr>
              <w:t>6</w:t>
            </w:r>
            <w:r w:rsidR="00235700">
              <w:rPr>
                <w:noProof/>
                <w:webHidden/>
              </w:rPr>
              <w:fldChar w:fldCharType="end"/>
            </w:r>
          </w:hyperlink>
        </w:p>
        <w:p w14:paraId="340EF933" w14:textId="1B6DDE2E" w:rsidR="00235700" w:rsidRDefault="00216CD0">
          <w:pPr>
            <w:pStyle w:val="TOC2"/>
            <w:tabs>
              <w:tab w:val="left" w:pos="660"/>
              <w:tab w:val="right" w:leader="dot" w:pos="9350"/>
            </w:tabs>
            <w:rPr>
              <w:rFonts w:eastAsiaTheme="minorEastAsia"/>
              <w:noProof/>
            </w:rPr>
          </w:pPr>
          <w:hyperlink w:anchor="_Toc221178169" w:history="1">
            <w:r w:rsidR="00235700" w:rsidRPr="00FD5C7A">
              <w:rPr>
                <w:rStyle w:val="Hyperlink"/>
                <w:noProof/>
              </w:rPr>
              <w:t>C.</w:t>
            </w:r>
            <w:r w:rsidR="00235700">
              <w:rPr>
                <w:rFonts w:eastAsiaTheme="minorEastAsia"/>
                <w:noProof/>
              </w:rPr>
              <w:tab/>
            </w:r>
            <w:r w:rsidR="00235700" w:rsidRPr="00FD5C7A">
              <w:rPr>
                <w:rStyle w:val="Hyperlink"/>
                <w:noProof/>
              </w:rPr>
              <w:t>Requirements Specification – Scope of Work</w:t>
            </w:r>
            <w:r w:rsidR="00235700">
              <w:rPr>
                <w:noProof/>
                <w:webHidden/>
              </w:rPr>
              <w:tab/>
            </w:r>
            <w:r w:rsidR="00235700">
              <w:rPr>
                <w:noProof/>
                <w:webHidden/>
              </w:rPr>
              <w:fldChar w:fldCharType="begin"/>
            </w:r>
            <w:r w:rsidR="00235700">
              <w:rPr>
                <w:noProof/>
                <w:webHidden/>
              </w:rPr>
              <w:instrText xml:space="preserve"> PAGEREF _Toc221178169 \h </w:instrText>
            </w:r>
            <w:r w:rsidR="00235700">
              <w:rPr>
                <w:noProof/>
                <w:webHidden/>
              </w:rPr>
            </w:r>
            <w:r w:rsidR="00235700">
              <w:rPr>
                <w:noProof/>
                <w:webHidden/>
              </w:rPr>
              <w:fldChar w:fldCharType="separate"/>
            </w:r>
            <w:r w:rsidR="00235700">
              <w:rPr>
                <w:noProof/>
                <w:webHidden/>
              </w:rPr>
              <w:t>6</w:t>
            </w:r>
            <w:r w:rsidR="00235700">
              <w:rPr>
                <w:noProof/>
                <w:webHidden/>
              </w:rPr>
              <w:fldChar w:fldCharType="end"/>
            </w:r>
          </w:hyperlink>
        </w:p>
        <w:p w14:paraId="3D7AED4C" w14:textId="40FFDE06" w:rsidR="00235700" w:rsidRDefault="00216CD0">
          <w:pPr>
            <w:pStyle w:val="TOC2"/>
            <w:tabs>
              <w:tab w:val="left" w:pos="660"/>
              <w:tab w:val="right" w:leader="dot" w:pos="9350"/>
            </w:tabs>
            <w:rPr>
              <w:rFonts w:eastAsiaTheme="minorEastAsia"/>
              <w:noProof/>
            </w:rPr>
          </w:pPr>
          <w:hyperlink w:anchor="_Toc221178170" w:history="1">
            <w:r w:rsidR="00235700" w:rsidRPr="00FD5C7A">
              <w:rPr>
                <w:rStyle w:val="Hyperlink"/>
                <w:rFonts w:eastAsia="Times New Roman"/>
                <w:noProof/>
              </w:rPr>
              <w:t>D.</w:t>
            </w:r>
            <w:r w:rsidR="00235700">
              <w:rPr>
                <w:rFonts w:eastAsiaTheme="minorEastAsia"/>
                <w:noProof/>
              </w:rPr>
              <w:tab/>
            </w:r>
            <w:r w:rsidR="00235700" w:rsidRPr="00FD5C7A">
              <w:rPr>
                <w:rStyle w:val="Hyperlink"/>
                <w:rFonts w:eastAsia="Times New Roman"/>
                <w:noProof/>
              </w:rPr>
              <w:t>Pricing and Payment Terms</w:t>
            </w:r>
            <w:r w:rsidR="00235700">
              <w:rPr>
                <w:noProof/>
                <w:webHidden/>
              </w:rPr>
              <w:tab/>
            </w:r>
            <w:r w:rsidR="00235700">
              <w:rPr>
                <w:noProof/>
                <w:webHidden/>
              </w:rPr>
              <w:fldChar w:fldCharType="begin"/>
            </w:r>
            <w:r w:rsidR="00235700">
              <w:rPr>
                <w:noProof/>
                <w:webHidden/>
              </w:rPr>
              <w:instrText xml:space="preserve"> PAGEREF _Toc221178170 \h </w:instrText>
            </w:r>
            <w:r w:rsidR="00235700">
              <w:rPr>
                <w:noProof/>
                <w:webHidden/>
              </w:rPr>
            </w:r>
            <w:r w:rsidR="00235700">
              <w:rPr>
                <w:noProof/>
                <w:webHidden/>
              </w:rPr>
              <w:fldChar w:fldCharType="separate"/>
            </w:r>
            <w:r w:rsidR="00235700">
              <w:rPr>
                <w:noProof/>
                <w:webHidden/>
              </w:rPr>
              <w:t>7</w:t>
            </w:r>
            <w:r w:rsidR="00235700">
              <w:rPr>
                <w:noProof/>
                <w:webHidden/>
              </w:rPr>
              <w:fldChar w:fldCharType="end"/>
            </w:r>
          </w:hyperlink>
        </w:p>
        <w:p w14:paraId="2FEE64CC" w14:textId="2F0AF602" w:rsidR="00235700" w:rsidRDefault="00216CD0">
          <w:pPr>
            <w:pStyle w:val="TOC2"/>
            <w:tabs>
              <w:tab w:val="left" w:pos="660"/>
              <w:tab w:val="right" w:leader="dot" w:pos="9350"/>
            </w:tabs>
            <w:rPr>
              <w:rFonts w:eastAsiaTheme="minorEastAsia"/>
              <w:noProof/>
            </w:rPr>
          </w:pPr>
          <w:hyperlink w:anchor="_Toc221178171" w:history="1">
            <w:r w:rsidR="00235700" w:rsidRPr="00FD5C7A">
              <w:rPr>
                <w:rStyle w:val="Hyperlink"/>
                <w:rFonts w:eastAsia="Times New Roman"/>
                <w:noProof/>
              </w:rPr>
              <w:t>E.</w:t>
            </w:r>
            <w:r w:rsidR="00235700">
              <w:rPr>
                <w:rFonts w:eastAsiaTheme="minorEastAsia"/>
                <w:noProof/>
              </w:rPr>
              <w:tab/>
            </w:r>
            <w:r w:rsidR="00235700" w:rsidRPr="00FD5C7A">
              <w:rPr>
                <w:rStyle w:val="Hyperlink"/>
                <w:rFonts w:eastAsia="Times New Roman"/>
                <w:noProof/>
              </w:rPr>
              <w:t>Tax Exempt Status</w:t>
            </w:r>
            <w:r w:rsidR="00235700">
              <w:rPr>
                <w:noProof/>
                <w:webHidden/>
              </w:rPr>
              <w:tab/>
            </w:r>
            <w:r w:rsidR="00235700">
              <w:rPr>
                <w:noProof/>
                <w:webHidden/>
              </w:rPr>
              <w:fldChar w:fldCharType="begin"/>
            </w:r>
            <w:r w:rsidR="00235700">
              <w:rPr>
                <w:noProof/>
                <w:webHidden/>
              </w:rPr>
              <w:instrText xml:space="preserve"> PAGEREF _Toc221178171 \h </w:instrText>
            </w:r>
            <w:r w:rsidR="00235700">
              <w:rPr>
                <w:noProof/>
                <w:webHidden/>
              </w:rPr>
            </w:r>
            <w:r w:rsidR="00235700">
              <w:rPr>
                <w:noProof/>
                <w:webHidden/>
              </w:rPr>
              <w:fldChar w:fldCharType="separate"/>
            </w:r>
            <w:r w:rsidR="00235700">
              <w:rPr>
                <w:noProof/>
                <w:webHidden/>
              </w:rPr>
              <w:t>7</w:t>
            </w:r>
            <w:r w:rsidR="00235700">
              <w:rPr>
                <w:noProof/>
                <w:webHidden/>
              </w:rPr>
              <w:fldChar w:fldCharType="end"/>
            </w:r>
          </w:hyperlink>
        </w:p>
        <w:p w14:paraId="679DC2B8" w14:textId="798071E7" w:rsidR="00235700" w:rsidRDefault="00216CD0">
          <w:pPr>
            <w:pStyle w:val="TOC2"/>
            <w:tabs>
              <w:tab w:val="left" w:pos="660"/>
              <w:tab w:val="right" w:leader="dot" w:pos="9350"/>
            </w:tabs>
            <w:rPr>
              <w:rFonts w:eastAsiaTheme="minorEastAsia"/>
              <w:noProof/>
            </w:rPr>
          </w:pPr>
          <w:hyperlink w:anchor="_Toc221178172" w:history="1">
            <w:r w:rsidR="00235700" w:rsidRPr="00FD5C7A">
              <w:rPr>
                <w:rStyle w:val="Hyperlink"/>
                <w:rFonts w:eastAsia="Times New Roman"/>
                <w:noProof/>
              </w:rPr>
              <w:t>F.</w:t>
            </w:r>
            <w:r w:rsidR="00235700">
              <w:rPr>
                <w:rFonts w:eastAsiaTheme="minorEastAsia"/>
                <w:noProof/>
              </w:rPr>
              <w:tab/>
            </w:r>
            <w:r w:rsidR="00235700" w:rsidRPr="00FD5C7A">
              <w:rPr>
                <w:rStyle w:val="Hyperlink"/>
                <w:rFonts w:eastAsia="Times New Roman"/>
                <w:noProof/>
              </w:rPr>
              <w:t>Payment Terms</w:t>
            </w:r>
            <w:r w:rsidR="00235700">
              <w:rPr>
                <w:noProof/>
                <w:webHidden/>
              </w:rPr>
              <w:tab/>
            </w:r>
            <w:r w:rsidR="00235700">
              <w:rPr>
                <w:noProof/>
                <w:webHidden/>
              </w:rPr>
              <w:fldChar w:fldCharType="begin"/>
            </w:r>
            <w:r w:rsidR="00235700">
              <w:rPr>
                <w:noProof/>
                <w:webHidden/>
              </w:rPr>
              <w:instrText xml:space="preserve"> PAGEREF _Toc221178172 \h </w:instrText>
            </w:r>
            <w:r w:rsidR="00235700">
              <w:rPr>
                <w:noProof/>
                <w:webHidden/>
              </w:rPr>
            </w:r>
            <w:r w:rsidR="00235700">
              <w:rPr>
                <w:noProof/>
                <w:webHidden/>
              </w:rPr>
              <w:fldChar w:fldCharType="separate"/>
            </w:r>
            <w:r w:rsidR="00235700">
              <w:rPr>
                <w:noProof/>
                <w:webHidden/>
              </w:rPr>
              <w:t>7</w:t>
            </w:r>
            <w:r w:rsidR="00235700">
              <w:rPr>
                <w:noProof/>
                <w:webHidden/>
              </w:rPr>
              <w:fldChar w:fldCharType="end"/>
            </w:r>
          </w:hyperlink>
        </w:p>
        <w:p w14:paraId="2A43FA2A" w14:textId="7344040E" w:rsidR="00235700" w:rsidRDefault="00216CD0">
          <w:pPr>
            <w:pStyle w:val="TOC1"/>
            <w:tabs>
              <w:tab w:val="left" w:pos="660"/>
              <w:tab w:val="right" w:leader="dot" w:pos="9350"/>
            </w:tabs>
            <w:rPr>
              <w:rFonts w:eastAsiaTheme="minorEastAsia"/>
              <w:noProof/>
            </w:rPr>
          </w:pPr>
          <w:hyperlink w:anchor="_Toc221178173" w:history="1">
            <w:r w:rsidR="00235700" w:rsidRPr="00FD5C7A">
              <w:rPr>
                <w:rStyle w:val="Hyperlink"/>
                <w:rFonts w:eastAsia="Times New Roman"/>
                <w:noProof/>
              </w:rPr>
              <w:t>VI.</w:t>
            </w:r>
            <w:r w:rsidR="00235700">
              <w:rPr>
                <w:rFonts w:eastAsiaTheme="minorEastAsia"/>
                <w:noProof/>
              </w:rPr>
              <w:tab/>
            </w:r>
            <w:r w:rsidR="00235700" w:rsidRPr="00FD5C7A">
              <w:rPr>
                <w:rStyle w:val="Hyperlink"/>
                <w:rFonts w:eastAsia="Times New Roman"/>
                <w:noProof/>
              </w:rPr>
              <w:t>Supplemental Bidder Information</w:t>
            </w:r>
            <w:r w:rsidR="00235700">
              <w:rPr>
                <w:noProof/>
                <w:webHidden/>
              </w:rPr>
              <w:tab/>
            </w:r>
            <w:r w:rsidR="00235700">
              <w:rPr>
                <w:noProof/>
                <w:webHidden/>
              </w:rPr>
              <w:fldChar w:fldCharType="begin"/>
            </w:r>
            <w:r w:rsidR="00235700">
              <w:rPr>
                <w:noProof/>
                <w:webHidden/>
              </w:rPr>
              <w:instrText xml:space="preserve"> PAGEREF _Toc221178173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0CE0F7A0" w14:textId="360E0A5B" w:rsidR="00235700" w:rsidRDefault="00216CD0">
          <w:pPr>
            <w:pStyle w:val="TOC2"/>
            <w:tabs>
              <w:tab w:val="left" w:pos="660"/>
              <w:tab w:val="right" w:leader="dot" w:pos="9350"/>
            </w:tabs>
            <w:rPr>
              <w:rFonts w:eastAsiaTheme="minorEastAsia"/>
              <w:noProof/>
            </w:rPr>
          </w:pPr>
          <w:hyperlink w:anchor="_Toc221178174" w:history="1">
            <w:r w:rsidR="00235700" w:rsidRPr="00FD5C7A">
              <w:rPr>
                <w:rStyle w:val="Hyperlink"/>
                <w:rFonts w:eastAsia="Times New Roman"/>
                <w:noProof/>
              </w:rPr>
              <w:t>A.</w:t>
            </w:r>
            <w:r w:rsidR="00235700">
              <w:rPr>
                <w:rFonts w:eastAsiaTheme="minorEastAsia"/>
                <w:noProof/>
              </w:rPr>
              <w:tab/>
            </w:r>
            <w:r w:rsidR="00235700" w:rsidRPr="00FD5C7A">
              <w:rPr>
                <w:rStyle w:val="Hyperlink"/>
                <w:rFonts w:eastAsia="Times New Roman"/>
                <w:noProof/>
              </w:rPr>
              <w:t>Conformity of Proposal with SGC Requirements</w:t>
            </w:r>
            <w:r w:rsidR="00235700">
              <w:rPr>
                <w:noProof/>
                <w:webHidden/>
              </w:rPr>
              <w:tab/>
            </w:r>
            <w:r w:rsidR="00235700">
              <w:rPr>
                <w:noProof/>
                <w:webHidden/>
              </w:rPr>
              <w:fldChar w:fldCharType="begin"/>
            </w:r>
            <w:r w:rsidR="00235700">
              <w:rPr>
                <w:noProof/>
                <w:webHidden/>
              </w:rPr>
              <w:instrText xml:space="preserve"> PAGEREF _Toc221178174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2D886ADA" w14:textId="746221EE" w:rsidR="00235700" w:rsidRDefault="00216CD0">
          <w:pPr>
            <w:pStyle w:val="TOC1"/>
            <w:tabs>
              <w:tab w:val="left" w:pos="660"/>
              <w:tab w:val="right" w:leader="dot" w:pos="9350"/>
            </w:tabs>
            <w:rPr>
              <w:rFonts w:eastAsiaTheme="minorEastAsia"/>
              <w:noProof/>
            </w:rPr>
          </w:pPr>
          <w:hyperlink w:anchor="_Toc221178175" w:history="1">
            <w:r w:rsidR="00235700" w:rsidRPr="00FD5C7A">
              <w:rPr>
                <w:rStyle w:val="Hyperlink"/>
                <w:rFonts w:eastAsia="Times New Roman"/>
                <w:noProof/>
              </w:rPr>
              <w:t>VII.</w:t>
            </w:r>
            <w:r w:rsidR="00235700">
              <w:rPr>
                <w:rFonts w:eastAsiaTheme="minorEastAsia"/>
                <w:noProof/>
              </w:rPr>
              <w:tab/>
            </w:r>
            <w:r w:rsidR="00235700" w:rsidRPr="00FD5C7A">
              <w:rPr>
                <w:rStyle w:val="Hyperlink"/>
                <w:rFonts w:eastAsia="Times New Roman"/>
                <w:noProof/>
              </w:rPr>
              <w:t>Vendor Requirements</w:t>
            </w:r>
            <w:r w:rsidR="00235700">
              <w:rPr>
                <w:noProof/>
                <w:webHidden/>
              </w:rPr>
              <w:tab/>
            </w:r>
            <w:r w:rsidR="00235700">
              <w:rPr>
                <w:noProof/>
                <w:webHidden/>
              </w:rPr>
              <w:fldChar w:fldCharType="begin"/>
            </w:r>
            <w:r w:rsidR="00235700">
              <w:rPr>
                <w:noProof/>
                <w:webHidden/>
              </w:rPr>
              <w:instrText xml:space="preserve"> PAGEREF _Toc221178175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6577E9BC" w14:textId="76AF0CD6" w:rsidR="00235700" w:rsidRDefault="00216CD0">
          <w:pPr>
            <w:pStyle w:val="TOC2"/>
            <w:tabs>
              <w:tab w:val="left" w:pos="660"/>
              <w:tab w:val="right" w:leader="dot" w:pos="9350"/>
            </w:tabs>
            <w:rPr>
              <w:rFonts w:eastAsiaTheme="minorEastAsia"/>
              <w:noProof/>
            </w:rPr>
          </w:pPr>
          <w:hyperlink w:anchor="_Toc221178176" w:history="1">
            <w:r w:rsidR="00235700" w:rsidRPr="00FD5C7A">
              <w:rPr>
                <w:rStyle w:val="Hyperlink"/>
                <w:rFonts w:eastAsia="Times New Roman"/>
                <w:noProof/>
              </w:rPr>
              <w:t>A.</w:t>
            </w:r>
            <w:r w:rsidR="00235700">
              <w:rPr>
                <w:rFonts w:eastAsiaTheme="minorEastAsia"/>
                <w:noProof/>
              </w:rPr>
              <w:tab/>
            </w:r>
            <w:r w:rsidR="00235700" w:rsidRPr="00FD5C7A">
              <w:rPr>
                <w:rStyle w:val="Hyperlink"/>
                <w:rFonts w:eastAsia="Times New Roman"/>
                <w:noProof/>
              </w:rPr>
              <w:t>Proposal</w:t>
            </w:r>
            <w:r w:rsidR="00235700">
              <w:rPr>
                <w:noProof/>
                <w:webHidden/>
              </w:rPr>
              <w:tab/>
            </w:r>
            <w:r w:rsidR="00235700">
              <w:rPr>
                <w:noProof/>
                <w:webHidden/>
              </w:rPr>
              <w:fldChar w:fldCharType="begin"/>
            </w:r>
            <w:r w:rsidR="00235700">
              <w:rPr>
                <w:noProof/>
                <w:webHidden/>
              </w:rPr>
              <w:instrText xml:space="preserve"> PAGEREF _Toc221178176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444EC882" w14:textId="77E4EC68" w:rsidR="00235700" w:rsidRDefault="00216CD0">
          <w:pPr>
            <w:pStyle w:val="TOC2"/>
            <w:tabs>
              <w:tab w:val="left" w:pos="660"/>
              <w:tab w:val="right" w:leader="dot" w:pos="9350"/>
            </w:tabs>
            <w:rPr>
              <w:rFonts w:eastAsiaTheme="minorEastAsia"/>
              <w:noProof/>
            </w:rPr>
          </w:pPr>
          <w:hyperlink w:anchor="_Toc221178177" w:history="1">
            <w:r w:rsidR="00235700" w:rsidRPr="00FD5C7A">
              <w:rPr>
                <w:rStyle w:val="Hyperlink"/>
                <w:rFonts w:eastAsia="Times New Roman"/>
                <w:noProof/>
              </w:rPr>
              <w:t>B.</w:t>
            </w:r>
            <w:r w:rsidR="00235700">
              <w:rPr>
                <w:rFonts w:eastAsiaTheme="minorEastAsia"/>
                <w:noProof/>
              </w:rPr>
              <w:tab/>
            </w:r>
            <w:r w:rsidR="00235700" w:rsidRPr="00FD5C7A">
              <w:rPr>
                <w:rStyle w:val="Hyperlink"/>
                <w:rFonts w:eastAsia="Times New Roman"/>
                <w:noProof/>
              </w:rPr>
              <w:t>Seneca Nation Business Registration Fee (SNIBRF)</w:t>
            </w:r>
            <w:r w:rsidR="00235700">
              <w:rPr>
                <w:noProof/>
                <w:webHidden/>
              </w:rPr>
              <w:tab/>
            </w:r>
            <w:r w:rsidR="00235700">
              <w:rPr>
                <w:noProof/>
                <w:webHidden/>
              </w:rPr>
              <w:fldChar w:fldCharType="begin"/>
            </w:r>
            <w:r w:rsidR="00235700">
              <w:rPr>
                <w:noProof/>
                <w:webHidden/>
              </w:rPr>
              <w:instrText xml:space="preserve"> PAGEREF _Toc221178177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1D6EFCB2" w14:textId="3E063B79" w:rsidR="00235700" w:rsidRDefault="00216CD0">
          <w:pPr>
            <w:pStyle w:val="TOC1"/>
            <w:tabs>
              <w:tab w:val="left" w:pos="660"/>
              <w:tab w:val="right" w:leader="dot" w:pos="9350"/>
            </w:tabs>
            <w:rPr>
              <w:rFonts w:eastAsiaTheme="minorEastAsia"/>
              <w:noProof/>
            </w:rPr>
          </w:pPr>
          <w:hyperlink w:anchor="_Toc221178178" w:history="1">
            <w:r w:rsidR="00235700" w:rsidRPr="00FD5C7A">
              <w:rPr>
                <w:rStyle w:val="Hyperlink"/>
                <w:rFonts w:eastAsia="Times New Roman"/>
                <w:noProof/>
              </w:rPr>
              <w:t>VIII.</w:t>
            </w:r>
            <w:r w:rsidR="00235700">
              <w:rPr>
                <w:rFonts w:eastAsiaTheme="minorEastAsia"/>
                <w:noProof/>
              </w:rPr>
              <w:tab/>
            </w:r>
            <w:r w:rsidR="00235700" w:rsidRPr="00FD5C7A">
              <w:rPr>
                <w:rStyle w:val="Hyperlink"/>
                <w:rFonts w:eastAsia="Times New Roman"/>
                <w:noProof/>
              </w:rPr>
              <w:t>Bidder Certifications and Representations</w:t>
            </w:r>
            <w:r w:rsidR="00235700">
              <w:rPr>
                <w:noProof/>
                <w:webHidden/>
              </w:rPr>
              <w:tab/>
            </w:r>
            <w:r w:rsidR="00235700">
              <w:rPr>
                <w:noProof/>
                <w:webHidden/>
              </w:rPr>
              <w:fldChar w:fldCharType="begin"/>
            </w:r>
            <w:r w:rsidR="00235700">
              <w:rPr>
                <w:noProof/>
                <w:webHidden/>
              </w:rPr>
              <w:instrText xml:space="preserve"> PAGEREF _Toc221178178 \h </w:instrText>
            </w:r>
            <w:r w:rsidR="00235700">
              <w:rPr>
                <w:noProof/>
                <w:webHidden/>
              </w:rPr>
            </w:r>
            <w:r w:rsidR="00235700">
              <w:rPr>
                <w:noProof/>
                <w:webHidden/>
              </w:rPr>
              <w:fldChar w:fldCharType="separate"/>
            </w:r>
            <w:r w:rsidR="00235700">
              <w:rPr>
                <w:noProof/>
                <w:webHidden/>
              </w:rPr>
              <w:t>8</w:t>
            </w:r>
            <w:r w:rsidR="00235700">
              <w:rPr>
                <w:noProof/>
                <w:webHidden/>
              </w:rPr>
              <w:fldChar w:fldCharType="end"/>
            </w:r>
          </w:hyperlink>
        </w:p>
        <w:p w14:paraId="23BBE583" w14:textId="45E0E77F"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E96538">
      <w:pPr>
        <w:pStyle w:val="Heading1"/>
      </w:pPr>
      <w:bookmarkStart w:id="0" w:name="_Toc221178152"/>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E96538">
      <w:pPr>
        <w:pStyle w:val="Heading1"/>
      </w:pPr>
      <w:bookmarkStart w:id="1" w:name="_Toc221178153"/>
      <w:r>
        <w:t>RFP Objective</w:t>
      </w:r>
      <w:bookmarkEnd w:id="1"/>
    </w:p>
    <w:p w14:paraId="6FCE82FA" w14:textId="64892A94" w:rsidR="00DD6566" w:rsidRPr="00AB31A0" w:rsidRDefault="008D55DE" w:rsidP="00DD6566">
      <w:pPr>
        <w:spacing w:before="120" w:after="120" w:line="240" w:lineRule="auto"/>
        <w:ind w:left="720"/>
        <w:rPr>
          <w:rFonts w:eastAsia="Times New Roman" w:cstheme="minorHAnsi"/>
          <w:sz w:val="24"/>
          <w:szCs w:val="24"/>
        </w:rPr>
      </w:pPr>
      <w:bookmarkStart w:id="2" w:name="_Toc187756661"/>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 xml:space="preserve">is seeking a qualified </w:t>
      </w:r>
      <w:r w:rsidRPr="00036B58">
        <w:rPr>
          <w:rFonts w:eastAsia="Times New Roman" w:cstheme="minorHAnsi"/>
        </w:rPr>
        <w:t xml:space="preserve">experienced </w:t>
      </w:r>
      <w:r>
        <w:rPr>
          <w:rFonts w:eastAsia="Times New Roman" w:cstheme="minorHAnsi"/>
        </w:rPr>
        <w:t>Firework Display vendor to d</w:t>
      </w:r>
      <w:r w:rsidRPr="00081700">
        <w:rPr>
          <w:rFonts w:eastAsia="Times New Roman" w:cstheme="minorHAnsi"/>
        </w:rPr>
        <w:t>esign a 20 to 25 minute fireworks display using 3”, 4” and 5” shells (or other products that may work within the approved detonation range) that are strategically choreographed to a mix of patriotic and dance music for our annual July 4th holiday celebrations at the Seneca Niagara Resort &amp; Casino (SNRC) in Niagara Falls, NY 14303 and Seneca Allegany Resort &amp; Casino (SARC) in Salamanca, NY 14779</w:t>
      </w:r>
      <w:r w:rsidR="00DD6566">
        <w:rPr>
          <w:rFonts w:eastAsia="Times New Roman" w:cstheme="minorHAnsi"/>
        </w:rPr>
        <w:t>.</w:t>
      </w:r>
    </w:p>
    <w:p w14:paraId="18BE909E" w14:textId="0EF64256" w:rsidR="003401B6" w:rsidRDefault="00235700" w:rsidP="003401B6">
      <w:pPr>
        <w:pStyle w:val="Heading1"/>
      </w:pPr>
      <w:bookmarkStart w:id="3" w:name="_Toc221178154"/>
      <w:r>
        <w:t>Specifications</w:t>
      </w:r>
      <w:r w:rsidR="003401B6">
        <w:t>:</w:t>
      </w:r>
      <w:bookmarkEnd w:id="2"/>
      <w:bookmarkEnd w:id="3"/>
    </w:p>
    <w:p w14:paraId="61BECBC6" w14:textId="47DE6384" w:rsidR="003401B6" w:rsidRDefault="003401B6" w:rsidP="003401B6">
      <w:pPr>
        <w:ind w:left="360"/>
        <w:rPr>
          <w:rFonts w:cstheme="minorHAnsi"/>
          <w:sz w:val="21"/>
          <w:szCs w:val="21"/>
        </w:rPr>
      </w:pPr>
      <w:r>
        <w:tab/>
      </w:r>
      <w:r>
        <w:rPr>
          <w:rFonts w:cstheme="minorHAnsi"/>
          <w:sz w:val="21"/>
          <w:szCs w:val="21"/>
        </w:rPr>
        <w:t>Please see the following document attached:</w:t>
      </w:r>
    </w:p>
    <w:p w14:paraId="725333D3" w14:textId="3A507B9D" w:rsidR="003401B6" w:rsidRPr="005F36EB" w:rsidRDefault="003401B6" w:rsidP="003401B6">
      <w:pPr>
        <w:ind w:left="360"/>
        <w:rPr>
          <w:rFonts w:cstheme="minorHAnsi"/>
          <w:b/>
          <w:bCs/>
          <w:sz w:val="21"/>
          <w:szCs w:val="21"/>
        </w:rPr>
      </w:pPr>
      <w:r>
        <w:rPr>
          <w:rFonts w:cstheme="minorHAnsi"/>
          <w:sz w:val="21"/>
          <w:szCs w:val="21"/>
        </w:rPr>
        <w:tab/>
      </w:r>
      <w:bookmarkStart w:id="4" w:name="_Hlk192590825"/>
      <w:bookmarkStart w:id="5" w:name="_Hlk221176517"/>
      <w:r w:rsidR="000C5982" w:rsidRPr="005F36EB">
        <w:rPr>
          <w:rFonts w:cstheme="minorHAnsi"/>
          <w:b/>
          <w:bCs/>
          <w:sz w:val="21"/>
          <w:szCs w:val="21"/>
        </w:rPr>
        <w:t>Exhibit A - #S</w:t>
      </w:r>
      <w:r w:rsidR="008D55DE">
        <w:rPr>
          <w:rFonts w:cstheme="minorHAnsi"/>
          <w:b/>
          <w:bCs/>
          <w:sz w:val="21"/>
          <w:szCs w:val="21"/>
        </w:rPr>
        <w:t>R</w:t>
      </w:r>
      <w:r w:rsidR="00DD6566">
        <w:rPr>
          <w:rFonts w:cstheme="minorHAnsi"/>
          <w:b/>
          <w:bCs/>
          <w:sz w:val="21"/>
          <w:szCs w:val="21"/>
        </w:rPr>
        <w:t>C</w:t>
      </w:r>
      <w:r w:rsidR="000C5982" w:rsidRPr="005F36EB">
        <w:rPr>
          <w:rFonts w:cstheme="minorHAnsi"/>
          <w:b/>
          <w:bCs/>
          <w:sz w:val="21"/>
          <w:szCs w:val="21"/>
        </w:rPr>
        <w:t>-00</w:t>
      </w:r>
      <w:r w:rsidR="008D55DE">
        <w:rPr>
          <w:rFonts w:cstheme="minorHAnsi"/>
          <w:b/>
          <w:bCs/>
          <w:sz w:val="21"/>
          <w:szCs w:val="21"/>
        </w:rPr>
        <w:t>26</w:t>
      </w:r>
      <w:r w:rsidR="000C5982" w:rsidRPr="005F36EB">
        <w:rPr>
          <w:rFonts w:cstheme="minorHAnsi"/>
          <w:b/>
          <w:bCs/>
          <w:sz w:val="21"/>
          <w:szCs w:val="21"/>
        </w:rPr>
        <w:t>-2</w:t>
      </w:r>
      <w:r w:rsidR="00DD6566">
        <w:rPr>
          <w:rFonts w:cstheme="minorHAnsi"/>
          <w:b/>
          <w:bCs/>
          <w:sz w:val="21"/>
          <w:szCs w:val="21"/>
        </w:rPr>
        <w:t>6LF</w:t>
      </w:r>
      <w:r w:rsidR="000C5982" w:rsidRPr="005F36EB">
        <w:rPr>
          <w:rFonts w:cstheme="minorHAnsi"/>
          <w:b/>
          <w:bCs/>
          <w:sz w:val="21"/>
          <w:szCs w:val="21"/>
        </w:rPr>
        <w:t xml:space="preserve"> – </w:t>
      </w:r>
      <w:bookmarkEnd w:id="4"/>
      <w:r w:rsidR="008D55DE">
        <w:rPr>
          <w:rFonts w:cstheme="minorHAnsi"/>
          <w:b/>
          <w:bCs/>
          <w:sz w:val="21"/>
          <w:szCs w:val="21"/>
        </w:rPr>
        <w:t>Firework Display for 4</w:t>
      </w:r>
      <w:r w:rsidR="008D55DE" w:rsidRPr="008D55DE">
        <w:rPr>
          <w:rFonts w:cstheme="minorHAnsi"/>
          <w:b/>
          <w:bCs/>
          <w:sz w:val="21"/>
          <w:szCs w:val="21"/>
          <w:vertAlign w:val="superscript"/>
        </w:rPr>
        <w:t>th</w:t>
      </w:r>
      <w:r w:rsidR="008D55DE">
        <w:rPr>
          <w:rFonts w:cstheme="minorHAnsi"/>
          <w:b/>
          <w:bCs/>
          <w:sz w:val="21"/>
          <w:szCs w:val="21"/>
        </w:rPr>
        <w:t xml:space="preserve"> of July at Seneca Resorts &amp; Casinos</w:t>
      </w:r>
      <w:bookmarkEnd w:id="5"/>
      <w:r w:rsidR="008D55DE">
        <w:rPr>
          <w:rFonts w:cstheme="minorHAnsi"/>
          <w:b/>
          <w:bCs/>
          <w:sz w:val="21"/>
          <w:szCs w:val="21"/>
        </w:rPr>
        <w:t>.</w:t>
      </w:r>
    </w:p>
    <w:p w14:paraId="6496EA3B" w14:textId="3D4DF23F" w:rsidR="00E96538" w:rsidRDefault="00E96538" w:rsidP="00E96538">
      <w:pPr>
        <w:pStyle w:val="Heading1"/>
      </w:pPr>
      <w:bookmarkStart w:id="6" w:name="_Toc221178155"/>
      <w:r>
        <w:t>RFP Administrative Information</w:t>
      </w:r>
      <w:bookmarkEnd w:id="6"/>
    </w:p>
    <w:p w14:paraId="0CA4C7A8" w14:textId="77777777" w:rsidR="00E96538" w:rsidRDefault="00E96538" w:rsidP="00E96538">
      <w:pPr>
        <w:pStyle w:val="Heading2"/>
      </w:pPr>
      <w:bookmarkStart w:id="7" w:name="_Toc221178156"/>
      <w:r>
        <w:t>Contact Information</w:t>
      </w:r>
      <w:bookmarkEnd w:id="7"/>
    </w:p>
    <w:p w14:paraId="288C32ED" w14:textId="4625D7BA" w:rsidR="00E96538" w:rsidRPr="00CC3D40" w:rsidRDefault="00E96538" w:rsidP="00E96538">
      <w:pPr>
        <w:ind w:left="1440"/>
        <w:jc w:val="both"/>
      </w:pPr>
      <w:r>
        <w:t>Please use the following name and email address for all correspondence with SGC concerning this RFP.</w:t>
      </w:r>
    </w:p>
    <w:p w14:paraId="258A7F19" w14:textId="277BCFEE" w:rsidR="00E96538" w:rsidRDefault="00DB61C3" w:rsidP="00E96538">
      <w:pPr>
        <w:ind w:left="720" w:firstLine="720"/>
      </w:pPr>
      <w:r>
        <w:rPr>
          <w:b/>
          <w:u w:val="single"/>
        </w:rPr>
        <w:t>Facilitator:</w:t>
      </w:r>
    </w:p>
    <w:p w14:paraId="4D3AA31F" w14:textId="1378C960" w:rsidR="00E96538" w:rsidRDefault="00DB61C3" w:rsidP="008E0C28">
      <w:pPr>
        <w:spacing w:before="120" w:after="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DD6566">
        <w:rPr>
          <w:sz w:val="24"/>
          <w:szCs w:val="24"/>
        </w:rPr>
        <w:t>Lisa Fittante</w:t>
      </w:r>
      <w:r w:rsidR="005F36EB">
        <w:rPr>
          <w:sz w:val="24"/>
          <w:szCs w:val="24"/>
        </w:rPr>
        <w:t>, Buyer</w:t>
      </w:r>
    </w:p>
    <w:p w14:paraId="5D90A936" w14:textId="465C8B7E" w:rsidR="00E96538" w:rsidRPr="00456200" w:rsidRDefault="00E96538" w:rsidP="008E0C28">
      <w:pPr>
        <w:spacing w:after="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5F36EB">
        <w:rPr>
          <w:sz w:val="24"/>
          <w:szCs w:val="24"/>
        </w:rPr>
        <w:t>(716) 501-2</w:t>
      </w:r>
      <w:r w:rsidR="00DD6566">
        <w:rPr>
          <w:sz w:val="24"/>
          <w:szCs w:val="24"/>
        </w:rPr>
        <w:t>345</w:t>
      </w:r>
    </w:p>
    <w:p w14:paraId="11B86B5D" w14:textId="2DF1A37B"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DD6566">
        <w:rPr>
          <w:sz w:val="24"/>
          <w:szCs w:val="24"/>
        </w:rPr>
        <w:t>lfittante</w:t>
      </w:r>
      <w:r w:rsidR="005F36EB">
        <w:rPr>
          <w:sz w:val="24"/>
          <w:szCs w:val="24"/>
        </w:rPr>
        <w:t>@senecacasinos.com</w:t>
      </w:r>
    </w:p>
    <w:p w14:paraId="6AFB9417" w14:textId="77777777" w:rsidR="00E96538" w:rsidRDefault="00E96538" w:rsidP="00E96538">
      <w:pPr>
        <w:pStyle w:val="Heading2"/>
      </w:pPr>
      <w:bookmarkStart w:id="8" w:name="_Toc221178157"/>
      <w:r>
        <w:t>Schedule of Events</w:t>
      </w:r>
      <w:bookmarkEnd w:id="8"/>
    </w:p>
    <w:p w14:paraId="506D373B" w14:textId="19422B04" w:rsidR="00E96538" w:rsidRDefault="00E96538" w:rsidP="008E0C28">
      <w:pPr>
        <w:spacing w:before="120" w:after="0"/>
        <w:ind w:left="1440" w:firstLine="720"/>
        <w:rPr>
          <w:sz w:val="24"/>
          <w:szCs w:val="24"/>
        </w:rPr>
      </w:pPr>
      <w:bookmarkStart w:id="9" w:name="_Hlk194058451"/>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8D55DE">
        <w:rPr>
          <w:sz w:val="24"/>
          <w:szCs w:val="24"/>
        </w:rPr>
        <w:t>02</w:t>
      </w:r>
      <w:r w:rsidR="00E94FAD">
        <w:rPr>
          <w:sz w:val="24"/>
          <w:szCs w:val="24"/>
        </w:rPr>
        <w:t>/</w:t>
      </w:r>
      <w:r w:rsidR="00F17DB1">
        <w:rPr>
          <w:sz w:val="24"/>
          <w:szCs w:val="24"/>
        </w:rPr>
        <w:t>0</w:t>
      </w:r>
      <w:r w:rsidR="00216CD0">
        <w:rPr>
          <w:sz w:val="24"/>
          <w:szCs w:val="24"/>
        </w:rPr>
        <w:t>5</w:t>
      </w:r>
      <w:r w:rsidR="00E94FAD">
        <w:rPr>
          <w:sz w:val="24"/>
          <w:szCs w:val="24"/>
        </w:rPr>
        <w:t>/2</w:t>
      </w:r>
      <w:r w:rsidR="008D55DE">
        <w:rPr>
          <w:sz w:val="24"/>
          <w:szCs w:val="24"/>
        </w:rPr>
        <w:t>6</w:t>
      </w:r>
    </w:p>
    <w:p w14:paraId="7B2FB4C9" w14:textId="7C405ED2" w:rsidR="00AE4B06" w:rsidRDefault="00AE4B06" w:rsidP="008E0C28">
      <w:pPr>
        <w:spacing w:after="0"/>
        <w:ind w:left="1440" w:firstLine="720"/>
        <w:rPr>
          <w:sz w:val="24"/>
          <w:szCs w:val="24"/>
        </w:rPr>
      </w:pPr>
      <w:r>
        <w:rPr>
          <w:sz w:val="24"/>
          <w:szCs w:val="24"/>
        </w:rPr>
        <w:t>Intent to Bid:</w:t>
      </w:r>
      <w:r>
        <w:rPr>
          <w:sz w:val="24"/>
          <w:szCs w:val="24"/>
        </w:rPr>
        <w:tab/>
      </w:r>
      <w:r>
        <w:rPr>
          <w:sz w:val="24"/>
          <w:szCs w:val="24"/>
        </w:rPr>
        <w:tab/>
      </w:r>
      <w:r>
        <w:rPr>
          <w:sz w:val="24"/>
          <w:szCs w:val="24"/>
        </w:rPr>
        <w:tab/>
      </w:r>
      <w:r>
        <w:rPr>
          <w:sz w:val="24"/>
          <w:szCs w:val="24"/>
        </w:rPr>
        <w:tab/>
      </w:r>
      <w:r w:rsidR="008D55DE">
        <w:rPr>
          <w:sz w:val="24"/>
          <w:szCs w:val="24"/>
        </w:rPr>
        <w:t>02</w:t>
      </w:r>
      <w:r w:rsidR="00E94FAD">
        <w:rPr>
          <w:sz w:val="24"/>
          <w:szCs w:val="24"/>
        </w:rPr>
        <w:t>/</w:t>
      </w:r>
      <w:r w:rsidR="00F17DB1">
        <w:rPr>
          <w:sz w:val="24"/>
          <w:szCs w:val="24"/>
        </w:rPr>
        <w:t>0</w:t>
      </w:r>
      <w:r w:rsidR="00216CD0">
        <w:rPr>
          <w:sz w:val="24"/>
          <w:szCs w:val="24"/>
        </w:rPr>
        <w:t>6</w:t>
      </w:r>
      <w:r w:rsidR="00E94FAD">
        <w:rPr>
          <w:sz w:val="24"/>
          <w:szCs w:val="24"/>
        </w:rPr>
        <w:t>/2</w:t>
      </w:r>
      <w:r w:rsidR="008D55DE">
        <w:rPr>
          <w:sz w:val="24"/>
          <w:szCs w:val="24"/>
        </w:rPr>
        <w:t>6</w:t>
      </w:r>
    </w:p>
    <w:p w14:paraId="08ECBC76" w14:textId="0AFED3D1" w:rsidR="00E96538" w:rsidRPr="00456200" w:rsidRDefault="00E96538" w:rsidP="008E0C28">
      <w:pPr>
        <w:spacing w:after="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8D55DE">
        <w:rPr>
          <w:sz w:val="24"/>
          <w:szCs w:val="24"/>
        </w:rPr>
        <w:t>02</w:t>
      </w:r>
      <w:r w:rsidR="00E94FAD">
        <w:rPr>
          <w:sz w:val="24"/>
          <w:szCs w:val="24"/>
        </w:rPr>
        <w:t>/</w:t>
      </w:r>
      <w:r w:rsidR="00216CD0">
        <w:rPr>
          <w:sz w:val="24"/>
          <w:szCs w:val="24"/>
        </w:rPr>
        <w:t>09</w:t>
      </w:r>
      <w:r w:rsidR="00E94FAD">
        <w:rPr>
          <w:sz w:val="24"/>
          <w:szCs w:val="24"/>
        </w:rPr>
        <w:t>/2</w:t>
      </w:r>
      <w:r w:rsidR="008D55DE">
        <w:rPr>
          <w:sz w:val="24"/>
          <w:szCs w:val="24"/>
        </w:rPr>
        <w:t>6</w:t>
      </w:r>
    </w:p>
    <w:p w14:paraId="7D06AF2A" w14:textId="6C476BC8" w:rsidR="00E96538" w:rsidRPr="00AB31A0" w:rsidRDefault="00E96538" w:rsidP="008E0C28">
      <w:pPr>
        <w:spacing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8D55DE">
        <w:rPr>
          <w:b/>
          <w:sz w:val="24"/>
          <w:szCs w:val="24"/>
        </w:rPr>
        <w:t>02</w:t>
      </w:r>
      <w:r w:rsidR="00E94FAD">
        <w:rPr>
          <w:b/>
          <w:sz w:val="24"/>
          <w:szCs w:val="24"/>
        </w:rPr>
        <w:t>/</w:t>
      </w:r>
      <w:r w:rsidR="00F17DB1">
        <w:rPr>
          <w:b/>
          <w:sz w:val="24"/>
          <w:szCs w:val="24"/>
        </w:rPr>
        <w:t>1</w:t>
      </w:r>
      <w:r w:rsidR="00216CD0">
        <w:rPr>
          <w:b/>
          <w:sz w:val="24"/>
          <w:szCs w:val="24"/>
        </w:rPr>
        <w:t>3</w:t>
      </w:r>
      <w:r w:rsidR="00E94FAD">
        <w:rPr>
          <w:b/>
          <w:sz w:val="24"/>
          <w:szCs w:val="24"/>
        </w:rPr>
        <w:t>/2</w:t>
      </w:r>
      <w:r w:rsidR="008D55DE">
        <w:rPr>
          <w:b/>
          <w:sz w:val="24"/>
          <w:szCs w:val="24"/>
        </w:rPr>
        <w:t>6</w:t>
      </w:r>
      <w:r w:rsidRPr="00AB31A0">
        <w:rPr>
          <w:b/>
          <w:sz w:val="24"/>
          <w:szCs w:val="24"/>
        </w:rPr>
        <w:t xml:space="preserve"> by 5:00 PM Eastern Time</w:t>
      </w:r>
    </w:p>
    <w:p w14:paraId="047AD639" w14:textId="77777777" w:rsidR="00E96538" w:rsidRDefault="00E96538" w:rsidP="00E96538">
      <w:pPr>
        <w:pStyle w:val="Heading2"/>
        <w:rPr>
          <w:rFonts w:eastAsia="Times New Roman"/>
        </w:rPr>
      </w:pPr>
      <w:bookmarkStart w:id="10" w:name="_Toc221178158"/>
      <w:bookmarkEnd w:id="9"/>
      <w:r>
        <w:rPr>
          <w:rFonts w:eastAsia="Times New Roman"/>
        </w:rPr>
        <w:t>Intent to Bid</w:t>
      </w:r>
      <w:bookmarkEnd w:id="10"/>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lastRenderedPageBreak/>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11" w:name="_Toc221178159"/>
      <w:r>
        <w:rPr>
          <w:rFonts w:eastAsia="Times New Roman"/>
        </w:rPr>
        <w:t xml:space="preserve">Bidder </w:t>
      </w:r>
      <w:r w:rsidRPr="00CC3D40">
        <w:rPr>
          <w:rFonts w:eastAsia="Times New Roman"/>
        </w:rPr>
        <w:t>Questions</w:t>
      </w:r>
      <w:bookmarkEnd w:id="11"/>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12" w:name="_Toc17728971"/>
      <w:bookmarkStart w:id="13" w:name="_Toc221178160"/>
      <w:r w:rsidRPr="00CC3D40">
        <w:rPr>
          <w:rFonts w:eastAsia="Times New Roman"/>
        </w:rPr>
        <w:t>Submission of Proposals</w:t>
      </w:r>
      <w:bookmarkEnd w:id="12"/>
      <w:bookmarkEnd w:id="13"/>
    </w:p>
    <w:p w14:paraId="015559A6" w14:textId="4C146F08"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BC6CF1">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14" w:name="_Toc17728972"/>
      <w:bookmarkStart w:id="15" w:name="_Toc221178161"/>
      <w:r w:rsidRPr="00EE18DD">
        <w:rPr>
          <w:rFonts w:eastAsia="Times New Roman"/>
        </w:rPr>
        <w:t>Proposal Format</w:t>
      </w:r>
      <w:bookmarkEnd w:id="14"/>
      <w:bookmarkEnd w:id="15"/>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69AAA6B" w14:textId="2DD10364" w:rsidR="00516EC6" w:rsidRDefault="00F43ED8" w:rsidP="00516EC6">
      <w:pPr>
        <w:spacing w:after="0"/>
        <w:ind w:left="1440"/>
      </w:pPr>
      <w:r>
        <w:t>Bidders must complete the attached excel workbook</w:t>
      </w:r>
      <w:r w:rsidR="00516EC6">
        <w:t>:</w:t>
      </w:r>
    </w:p>
    <w:p w14:paraId="39C07A90" w14:textId="77777777" w:rsidR="00E92F00" w:rsidRDefault="008D55DE" w:rsidP="00143363">
      <w:pPr>
        <w:ind w:left="720" w:firstLine="720"/>
        <w:rPr>
          <w:rFonts w:cstheme="minorHAnsi"/>
          <w:b/>
          <w:color w:val="FF0000"/>
          <w:sz w:val="21"/>
          <w:szCs w:val="21"/>
        </w:rPr>
      </w:pPr>
      <w:r w:rsidRPr="008D55DE">
        <w:rPr>
          <w:rFonts w:cstheme="minorHAnsi"/>
          <w:b/>
          <w:color w:val="FF0000"/>
          <w:sz w:val="21"/>
          <w:szCs w:val="21"/>
        </w:rPr>
        <w:t xml:space="preserve">Exhibit A - #SRC-0026-26LF – Firework Display for 4th of July at Seneca Resorts &amp; Casinos </w:t>
      </w:r>
    </w:p>
    <w:p w14:paraId="4460EE3E" w14:textId="55AF1B8B"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w:t>
      </w:r>
      <w:r w:rsidRPr="00281D20">
        <w:lastRenderedPageBreak/>
        <w:t>and entities will be additional insured under the general liability and automobile liability policies of insurance.</w:t>
      </w:r>
    </w:p>
    <w:p w14:paraId="5ED96A89" w14:textId="77777777" w:rsidR="00143363" w:rsidRDefault="00143363" w:rsidP="00143363">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911476" w:rsidRDefault="00143363" w:rsidP="00143363">
      <w:pPr>
        <w:ind w:left="1440"/>
        <w:jc w:val="both"/>
        <w:rPr>
          <w:b/>
          <w:bCs/>
        </w:rPr>
      </w:pPr>
      <w:r w:rsidRPr="00911476">
        <w:rPr>
          <w:b/>
          <w:bCs/>
        </w:rPr>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8E0C28">
      <w:pPr>
        <w:spacing w:after="0"/>
        <w:ind w:left="1440"/>
        <w:jc w:val="both"/>
      </w:pPr>
      <w:r>
        <w:t>Seneca Gaming Corporation</w:t>
      </w:r>
    </w:p>
    <w:p w14:paraId="0494335A" w14:textId="77777777" w:rsidR="00143363" w:rsidRDefault="00143363" w:rsidP="008E0C28">
      <w:pPr>
        <w:spacing w:after="0"/>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p w14:paraId="23A4C877" w14:textId="77777777" w:rsidR="00911476" w:rsidRDefault="00911476" w:rsidP="00911476">
      <w:pPr>
        <w:pStyle w:val="Heading2"/>
        <w:rPr>
          <w:rFonts w:eastAsia="Times New Roman"/>
        </w:rPr>
      </w:pPr>
      <w:bookmarkStart w:id="16" w:name="_Toc186803474"/>
      <w:bookmarkStart w:id="17" w:name="_Toc221178162"/>
      <w:r>
        <w:rPr>
          <w:rFonts w:eastAsia="Times New Roman"/>
        </w:rPr>
        <w:t>Conditions</w:t>
      </w:r>
      <w:bookmarkEnd w:id="16"/>
      <w:bookmarkEnd w:id="17"/>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8E0C28">
      <w:pPr>
        <w:spacing w:after="0"/>
      </w:pPr>
      <w:r>
        <w:tab/>
      </w:r>
      <w:r>
        <w:tab/>
        <w:t>By participating in this RFP:</w:t>
      </w:r>
    </w:p>
    <w:p w14:paraId="50B93C41" w14:textId="77777777" w:rsidR="00911476" w:rsidRDefault="00911476" w:rsidP="00911476">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lastRenderedPageBreak/>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tab/>
      </w:r>
      <w:r>
        <w:tab/>
        <w:t>All responses to the RFP become the property of SGC.</w:t>
      </w:r>
    </w:p>
    <w:p w14:paraId="6956EF26" w14:textId="3BE2AA2D" w:rsidR="00E96538" w:rsidRPr="00325DC1" w:rsidRDefault="00E96538" w:rsidP="00E96538">
      <w:pPr>
        <w:pStyle w:val="Heading2"/>
        <w:rPr>
          <w:rFonts w:eastAsia="Times New Roman"/>
        </w:rPr>
      </w:pPr>
      <w:bookmarkStart w:id="18" w:name="_Toc221178163"/>
      <w:r w:rsidRPr="00325DC1">
        <w:rPr>
          <w:rFonts w:eastAsia="Times New Roman"/>
        </w:rPr>
        <w:t>Propo</w:t>
      </w:r>
      <w:r>
        <w:rPr>
          <w:rFonts w:eastAsia="Times New Roman"/>
        </w:rPr>
        <w:t>sal Evaluation/Vendor Selection</w:t>
      </w:r>
      <w:bookmarkEnd w:id="18"/>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19" w:name="_Toc221178164"/>
      <w:r>
        <w:rPr>
          <w:rFonts w:eastAsia="Times New Roman"/>
        </w:rPr>
        <w:t>General Bidder Information</w:t>
      </w:r>
      <w:bookmarkEnd w:id="19"/>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 xml:space="preserve">are accepted based on the following conditions: SGC will consider alternative proposals from Bidders provided they have submitted a response based on the original requirements. The alternative Proposal will be submitted separate </w:t>
      </w:r>
      <w:r w:rsidRPr="00EA5550">
        <w:rPr>
          <w:rFonts w:eastAsia="Times New Roman" w:cstheme="minorHAnsi"/>
        </w:rPr>
        <w:lastRenderedPageBreak/>
        <w:t>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20" w:name="_Toc221178165"/>
      <w:r w:rsidRPr="00961C9F">
        <w:rPr>
          <w:rFonts w:eastAsia="Times New Roman"/>
        </w:rPr>
        <w:t>SGC Standard Terms and Conditions</w:t>
      </w:r>
      <w:bookmarkEnd w:id="20"/>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06D0179" w14:textId="0B5AFD2D" w:rsidR="00E96538" w:rsidRDefault="00E96538" w:rsidP="00E96538">
      <w:pPr>
        <w:pStyle w:val="Heading1"/>
        <w:rPr>
          <w:rFonts w:eastAsia="Times New Roman"/>
        </w:rPr>
      </w:pPr>
      <w:bookmarkStart w:id="21" w:name="_Toc221178166"/>
      <w:r w:rsidRPr="00D059D0">
        <w:rPr>
          <w:rFonts w:eastAsia="Times New Roman"/>
        </w:rPr>
        <w:t>Provisions Applicable to the Contract</w:t>
      </w:r>
      <w:bookmarkEnd w:id="21"/>
    </w:p>
    <w:p w14:paraId="4F611D85" w14:textId="77777777" w:rsidR="00E92F00" w:rsidRDefault="00E92F00" w:rsidP="00E92F00">
      <w:pPr>
        <w:pStyle w:val="Heading2"/>
        <w:rPr>
          <w:rFonts w:eastAsia="Times New Roman"/>
        </w:rPr>
      </w:pPr>
      <w:bookmarkStart w:id="22" w:name="_Toc529445165"/>
      <w:bookmarkStart w:id="23" w:name="_Toc157073276"/>
      <w:bookmarkStart w:id="24" w:name="_Toc221178167"/>
      <w:r>
        <w:rPr>
          <w:rFonts w:eastAsia="Times New Roman"/>
        </w:rPr>
        <w:t>Agreement Term</w:t>
      </w:r>
      <w:bookmarkEnd w:id="22"/>
      <w:bookmarkEnd w:id="23"/>
      <w:bookmarkEnd w:id="24"/>
    </w:p>
    <w:p w14:paraId="5BB6464A" w14:textId="77777777" w:rsidR="00E92F00" w:rsidRPr="00EA5550" w:rsidRDefault="00E92F00" w:rsidP="00E92F00">
      <w:pPr>
        <w:spacing w:after="120"/>
        <w:ind w:left="1440"/>
        <w:jc w:val="both"/>
      </w:pPr>
      <w:r w:rsidRPr="00EA5550">
        <w:t xml:space="preserve">The initial term of the contract will be </w:t>
      </w:r>
      <w:r>
        <w:t>three</w:t>
      </w:r>
      <w:r w:rsidRPr="00E66601">
        <w:t xml:space="preserve"> (</w:t>
      </w:r>
      <w:r>
        <w:t>3</w:t>
      </w:r>
      <w:r w:rsidRPr="00E66601">
        <w:t xml:space="preserve">) years, with </w:t>
      </w:r>
      <w:r>
        <w:t xml:space="preserve">two (1) one (1) year </w:t>
      </w:r>
      <w:r w:rsidRPr="00E66601">
        <w:t>option</w:t>
      </w:r>
      <w:r>
        <w:t>s</w:t>
      </w:r>
      <w:r w:rsidRPr="00E66601">
        <w:t xml:space="preserve"> to re</w:t>
      </w:r>
      <w:r w:rsidRPr="00EA5550">
        <w:t xml:space="preserve">new in favor of SGC. </w:t>
      </w:r>
    </w:p>
    <w:p w14:paraId="7AB36FF4" w14:textId="77777777" w:rsidR="00E92F00" w:rsidRPr="00E66601" w:rsidRDefault="00E92F00" w:rsidP="00E92F00">
      <w:pPr>
        <w:pStyle w:val="Heading2"/>
      </w:pPr>
      <w:bookmarkStart w:id="25" w:name="_Toc529445168"/>
      <w:bookmarkStart w:id="26" w:name="_Toc529445169"/>
      <w:bookmarkStart w:id="27" w:name="_Toc529445170"/>
      <w:bookmarkStart w:id="28" w:name="_Toc157073277"/>
      <w:bookmarkStart w:id="29" w:name="_Toc221178168"/>
      <w:bookmarkEnd w:id="25"/>
      <w:bookmarkEnd w:id="26"/>
      <w:r>
        <w:t>Price/Fee Structure</w:t>
      </w:r>
      <w:bookmarkEnd w:id="27"/>
      <w:bookmarkEnd w:id="28"/>
      <w:bookmarkEnd w:id="29"/>
    </w:p>
    <w:p w14:paraId="50DAD322" w14:textId="77777777" w:rsidR="00E92F00" w:rsidRPr="00C017CB" w:rsidRDefault="00E92F00" w:rsidP="00E92F00">
      <w:pPr>
        <w:ind w:left="1440"/>
      </w:pPr>
      <w:r>
        <w:t>Seneca Niagara (SNRC) budget is $65,500 and Seneca Allegany (SARC) budget is $50,000.</w:t>
      </w:r>
    </w:p>
    <w:p w14:paraId="75E2A3FA" w14:textId="77777777" w:rsidR="00E92F00" w:rsidRDefault="00E92F00" w:rsidP="00E92F00">
      <w:pPr>
        <w:pStyle w:val="Heading2"/>
      </w:pPr>
      <w:bookmarkStart w:id="30" w:name="_Toc157073278"/>
      <w:bookmarkStart w:id="31" w:name="_Toc221178169"/>
      <w:r>
        <w:t>Requirements Specification – Scope of Work</w:t>
      </w:r>
      <w:bookmarkEnd w:id="30"/>
      <w:bookmarkEnd w:id="31"/>
    </w:p>
    <w:p w14:paraId="655B3F5B" w14:textId="1582F236" w:rsidR="00E92F00" w:rsidRPr="00D94E6C" w:rsidRDefault="00E92F00" w:rsidP="00E92F00">
      <w:pPr>
        <w:pStyle w:val="ListParagraph"/>
        <w:numPr>
          <w:ilvl w:val="0"/>
          <w:numId w:val="11"/>
        </w:numPr>
        <w:spacing w:after="0" w:line="240" w:lineRule="auto"/>
        <w:jc w:val="both"/>
        <w:rPr>
          <w:rFonts w:ascii="Calibri" w:hAnsi="Calibri" w:cs="Arial"/>
        </w:rPr>
      </w:pPr>
      <w:r w:rsidRPr="00081700">
        <w:rPr>
          <w:rFonts w:ascii="Calibri" w:hAnsi="Calibri" w:cs="Arial"/>
          <w:b/>
          <w:u w:val="single"/>
        </w:rPr>
        <w:t>Firework Show Time:  Dusk</w:t>
      </w:r>
      <w:r>
        <w:rPr>
          <w:rFonts w:ascii="Calibri" w:hAnsi="Calibri" w:cs="Arial"/>
        </w:rPr>
        <w:t xml:space="preserve"> - </w:t>
      </w:r>
      <w:r w:rsidR="00240096" w:rsidRPr="00081700">
        <w:rPr>
          <w:rFonts w:ascii="Calibri" w:hAnsi="Calibri" w:cs="Arial"/>
        </w:rPr>
        <w:t>20-to-25-minute</w:t>
      </w:r>
      <w:r w:rsidRPr="00081700">
        <w:rPr>
          <w:rFonts w:ascii="Calibri" w:hAnsi="Calibri" w:cs="Arial"/>
        </w:rPr>
        <w:t xml:space="preserve"> fireworks display using 3”, 4” and 5” shells (or other products that may work within the approved detonation range) that are strategically choreographed to a mix of patriotic and dance music for our annual July 4th holiday celebrations</w:t>
      </w:r>
    </w:p>
    <w:p w14:paraId="789A7A7E"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b/>
          <w:u w:val="single"/>
        </w:rPr>
        <w:t>Dates</w:t>
      </w:r>
      <w:r w:rsidRPr="00D94E6C">
        <w:rPr>
          <w:rFonts w:ascii="Calibri" w:hAnsi="Calibri" w:cs="Arial"/>
        </w:rPr>
        <w:t xml:space="preserve"> - To be determined by property.  Potential show dates range from July 1 through July 10.  A rain date for each property is required.  </w:t>
      </w:r>
    </w:p>
    <w:p w14:paraId="595A3E51"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b/>
          <w:u w:val="single"/>
        </w:rPr>
        <w:t>Show layout</w:t>
      </w:r>
      <w:r w:rsidRPr="00D94E6C">
        <w:rPr>
          <w:rFonts w:ascii="Calibri" w:hAnsi="Calibri" w:cs="Arial"/>
        </w:rPr>
        <w:t xml:space="preserve"> - Opening, Body and Grand Finale – using 3”, 4” and 5” shells (or other display</w:t>
      </w:r>
      <w:r>
        <w:rPr>
          <w:rFonts w:ascii="Calibri" w:hAnsi="Calibri" w:cs="Arial"/>
        </w:rPr>
        <w:t xml:space="preserve"> </w:t>
      </w:r>
      <w:r w:rsidRPr="00D94E6C">
        <w:rPr>
          <w:rFonts w:ascii="Calibri" w:hAnsi="Calibri" w:cs="Arial"/>
        </w:rPr>
        <w:t>items that could fit based on the detonation range).  Shows to be a minimum of 20 minutes each – maximum 25 minutes.</w:t>
      </w:r>
    </w:p>
    <w:p w14:paraId="76157DB8"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b/>
          <w:u w:val="single"/>
        </w:rPr>
        <w:t>Display content</w:t>
      </w:r>
      <w:r w:rsidRPr="00D94E6C">
        <w:rPr>
          <w:rFonts w:ascii="Calibri" w:hAnsi="Calibri" w:cs="Arial"/>
        </w:rPr>
        <w:t xml:space="preserve"> </w:t>
      </w:r>
      <w:r>
        <w:rPr>
          <w:rFonts w:ascii="Calibri" w:hAnsi="Calibri" w:cs="Arial"/>
        </w:rPr>
        <w:t xml:space="preserve">- </w:t>
      </w:r>
      <w:r w:rsidRPr="00D94E6C">
        <w:rPr>
          <w:rFonts w:ascii="Calibri" w:hAnsi="Calibri" w:cs="Arial"/>
        </w:rPr>
        <w:t>shall be various styles, sizes &amp; colors of shells including those containing patriotic colors and casino logo colors.</w:t>
      </w:r>
    </w:p>
    <w:p w14:paraId="3184E2F2" w14:textId="34114345"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b/>
          <w:u w:val="single"/>
        </w:rPr>
        <w:t>Music</w:t>
      </w:r>
      <w:r w:rsidRPr="00D94E6C">
        <w:rPr>
          <w:rFonts w:ascii="Calibri" w:hAnsi="Calibri" w:cs="Arial"/>
        </w:rPr>
        <w:t xml:space="preserve"> – Sound track shall be provided by vendor and must be synchronized to fireworks </w:t>
      </w:r>
      <w:r w:rsidRPr="00D94E6C">
        <w:rPr>
          <w:rFonts w:ascii="Calibri" w:hAnsi="Calibri" w:cs="Arial"/>
        </w:rPr>
        <w:tab/>
        <w:t xml:space="preserve">display.  Vendor will provide a soundtrack of available music to both properties upon contract award.  Casino Managers to work with the vendor </w:t>
      </w:r>
      <w:r w:rsidR="00240096">
        <w:rPr>
          <w:rFonts w:ascii="Calibri" w:hAnsi="Calibri" w:cs="Arial"/>
        </w:rPr>
        <w:t>if</w:t>
      </w:r>
      <w:r w:rsidRPr="00D94E6C">
        <w:rPr>
          <w:rFonts w:ascii="Calibri" w:hAnsi="Calibri" w:cs="Arial"/>
        </w:rPr>
        <w:t xml:space="preserve"> they choose.</w:t>
      </w:r>
    </w:p>
    <w:p w14:paraId="5203355B" w14:textId="66B2C7A8"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lastRenderedPageBreak/>
        <w:t xml:space="preserve">Proposal must include a detailed description of the shells to be used </w:t>
      </w:r>
      <w:r w:rsidR="00240096">
        <w:rPr>
          <w:rFonts w:ascii="Calibri" w:hAnsi="Calibri" w:cs="Arial"/>
        </w:rPr>
        <w:t xml:space="preserve">as well a digital format to </w:t>
      </w:r>
      <w:r w:rsidRPr="00D94E6C">
        <w:rPr>
          <w:rFonts w:ascii="Calibri" w:hAnsi="Calibri" w:cs="Arial"/>
        </w:rPr>
        <w:t>display</w:t>
      </w:r>
      <w:r w:rsidR="00240096">
        <w:rPr>
          <w:rFonts w:ascii="Calibri" w:hAnsi="Calibri" w:cs="Arial"/>
        </w:rPr>
        <w:t xml:space="preserve"> </w:t>
      </w:r>
      <w:r w:rsidRPr="00D94E6C">
        <w:rPr>
          <w:rFonts w:ascii="Calibri" w:hAnsi="Calibri" w:cs="Arial"/>
        </w:rPr>
        <w:t xml:space="preserve">set to music, which is of similar nature to the displays being requested. </w:t>
      </w:r>
    </w:p>
    <w:p w14:paraId="6022BCEC"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b/>
          <w:u w:val="single"/>
        </w:rPr>
        <w:t>Licensing and permits</w:t>
      </w:r>
      <w:r w:rsidRPr="00D94E6C">
        <w:rPr>
          <w:rFonts w:ascii="Calibri" w:hAnsi="Calibri" w:cs="Arial"/>
        </w:rPr>
        <w:t xml:space="preserve"> – Vendor must provide proof of Federal ATF license upon contract </w:t>
      </w:r>
      <w:r w:rsidRPr="00D94E6C">
        <w:rPr>
          <w:rFonts w:ascii="Calibri" w:hAnsi="Calibri" w:cs="Arial"/>
        </w:rPr>
        <w:tab/>
        <w:t>award and is responsible for obtaining all required local, county and state permits and</w:t>
      </w:r>
      <w:r>
        <w:rPr>
          <w:rFonts w:ascii="Calibri" w:hAnsi="Calibri" w:cs="Arial"/>
        </w:rPr>
        <w:t xml:space="preserve"> </w:t>
      </w:r>
      <w:r w:rsidRPr="00D94E6C">
        <w:rPr>
          <w:rFonts w:ascii="Calibri" w:hAnsi="Calibri" w:cs="Arial"/>
        </w:rPr>
        <w:t>approvals.</w:t>
      </w:r>
    </w:p>
    <w:p w14:paraId="2FB693E9"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Vendor to provide a detailed safety plan from the set-up to the end of the show and the</w:t>
      </w:r>
      <w:r>
        <w:rPr>
          <w:rFonts w:ascii="Calibri" w:hAnsi="Calibri" w:cs="Arial"/>
        </w:rPr>
        <w:t xml:space="preserve"> </w:t>
      </w:r>
      <w:r w:rsidRPr="00D94E6C">
        <w:rPr>
          <w:rFonts w:ascii="Calibri" w:hAnsi="Calibri" w:cs="Arial"/>
        </w:rPr>
        <w:t>day after.</w:t>
      </w:r>
    </w:p>
    <w:p w14:paraId="0A5513E2"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Vendor is responsible for transportation of the shells and equipment.  If delivery arrives</w:t>
      </w:r>
      <w:r>
        <w:rPr>
          <w:rFonts w:ascii="Calibri" w:hAnsi="Calibri" w:cs="Arial"/>
        </w:rPr>
        <w:t xml:space="preserve"> </w:t>
      </w:r>
      <w:r w:rsidRPr="00D94E6C">
        <w:rPr>
          <w:rFonts w:ascii="Calibri" w:hAnsi="Calibri" w:cs="Arial"/>
        </w:rPr>
        <w:t xml:space="preserve">prior to the established date and/or time, vendor will also be responsible for security for same.  </w:t>
      </w:r>
    </w:p>
    <w:p w14:paraId="7CE88E74"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 xml:space="preserve">Clean up – Vendor will be responsible for site clean-up of 500’ radius around shoot site. </w:t>
      </w:r>
      <w:r>
        <w:rPr>
          <w:rFonts w:ascii="Calibri" w:hAnsi="Calibri" w:cs="Arial"/>
        </w:rPr>
        <w:t xml:space="preserve"> </w:t>
      </w:r>
      <w:r w:rsidRPr="00D94E6C">
        <w:rPr>
          <w:rFonts w:ascii="Calibri" w:hAnsi="Calibri" w:cs="Arial"/>
        </w:rPr>
        <w:t>Site areas must be cleaned and available for use by the morning following the events.</w:t>
      </w:r>
    </w:p>
    <w:p w14:paraId="00ADF1AE"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Vendor will be required to attend site visits and event planning meetings as determined by each property’s Special Event Managers.</w:t>
      </w:r>
    </w:p>
    <w:p w14:paraId="2C1D454D"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 xml:space="preserve">Proof of ten million ($10,000,000.00) General Liability, five million ($5,000,000.00) Transportation Liability and Worker’s Compensation coverage must be provided with proposal for bid to be considered valid.  </w:t>
      </w:r>
    </w:p>
    <w:p w14:paraId="79F87170"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 xml:space="preserve">A minimum of three (3) references (including contact information) from clients with shows of a similar size must be included with proposal. </w:t>
      </w:r>
    </w:p>
    <w:p w14:paraId="4B24D28E" w14:textId="77777777" w:rsidR="00E92F00" w:rsidRPr="00D94E6C" w:rsidRDefault="00E92F00" w:rsidP="00E92F00">
      <w:pPr>
        <w:pStyle w:val="ListParagraph"/>
        <w:numPr>
          <w:ilvl w:val="0"/>
          <w:numId w:val="11"/>
        </w:numPr>
        <w:spacing w:after="0" w:line="240" w:lineRule="auto"/>
        <w:jc w:val="both"/>
        <w:rPr>
          <w:rFonts w:ascii="Calibri" w:hAnsi="Calibri" w:cs="Arial"/>
        </w:rPr>
      </w:pPr>
      <w:r w:rsidRPr="00D94E6C">
        <w:rPr>
          <w:rFonts w:ascii="Calibri" w:hAnsi="Calibri" w:cs="Arial"/>
        </w:rPr>
        <w:t>Proposals must be submitted by the entity providing the services.  Subcontracting of services is not permitted.   Vendor will want to provide the following:  References from other companies they have worked in the size/scope of our show; safety plans, outline of</w:t>
      </w:r>
      <w:r>
        <w:rPr>
          <w:rFonts w:ascii="Calibri" w:hAnsi="Calibri" w:cs="Arial"/>
        </w:rPr>
        <w:t xml:space="preserve"> </w:t>
      </w:r>
      <w:r w:rsidRPr="00D94E6C">
        <w:rPr>
          <w:rFonts w:ascii="Calibri" w:hAnsi="Calibri" w:cs="Arial"/>
        </w:rPr>
        <w:t xml:space="preserve">what makes their company stand out. </w:t>
      </w:r>
    </w:p>
    <w:p w14:paraId="445F8622" w14:textId="77777777" w:rsidR="00E92F00" w:rsidRDefault="00E92F00" w:rsidP="008E0C28">
      <w:pPr>
        <w:spacing w:after="0"/>
        <w:ind w:left="1440"/>
        <w:rPr>
          <w:b/>
          <w:iCs/>
        </w:rPr>
      </w:pPr>
    </w:p>
    <w:p w14:paraId="453711F0" w14:textId="47272913" w:rsidR="008E0C28" w:rsidRPr="008E0C28" w:rsidRDefault="008E0C28" w:rsidP="008E0C28">
      <w:pPr>
        <w:spacing w:after="0"/>
        <w:ind w:left="1440"/>
        <w:rPr>
          <w:b/>
          <w:iCs/>
        </w:rPr>
      </w:pPr>
      <w:r w:rsidRPr="008E0C28">
        <w:rPr>
          <w:b/>
          <w:iCs/>
        </w:rPr>
        <w:t>EXHIBIT A</w:t>
      </w:r>
    </w:p>
    <w:p w14:paraId="02B60428" w14:textId="18DA1246" w:rsidR="008E0C28" w:rsidRDefault="008E0C28" w:rsidP="008E0C28">
      <w:pPr>
        <w:ind w:left="1440"/>
        <w:rPr>
          <w:bCs/>
          <w:iCs/>
        </w:rPr>
      </w:pPr>
      <w:r w:rsidRPr="008E0C28">
        <w:rPr>
          <w:bCs/>
          <w:iCs/>
        </w:rPr>
        <w:t xml:space="preserve">The spreadsheet contains </w:t>
      </w:r>
      <w:r>
        <w:rPr>
          <w:bCs/>
          <w:iCs/>
        </w:rPr>
        <w:t>six</w:t>
      </w:r>
      <w:r w:rsidRPr="008E0C28">
        <w:rPr>
          <w:bCs/>
          <w:iCs/>
        </w:rPr>
        <w:t xml:space="preserve"> (</w:t>
      </w:r>
      <w:r>
        <w:rPr>
          <w:bCs/>
          <w:iCs/>
        </w:rPr>
        <w:t>6</w:t>
      </w:r>
      <w:r w:rsidRPr="008E0C28">
        <w:rPr>
          <w:bCs/>
          <w:iCs/>
        </w:rPr>
        <w:t>) tabs and must be completed and returned with your bid. Failure to complete this document may disqualify your bid proposal.</w:t>
      </w:r>
    </w:p>
    <w:p w14:paraId="2FF7F440" w14:textId="77777777" w:rsidR="008E0C28" w:rsidRDefault="008E0C28" w:rsidP="008E0C28">
      <w:pPr>
        <w:pStyle w:val="ListParagraph"/>
        <w:numPr>
          <w:ilvl w:val="0"/>
          <w:numId w:val="10"/>
        </w:numPr>
        <w:rPr>
          <w:bCs/>
          <w:iCs/>
        </w:rPr>
      </w:pPr>
      <w:r w:rsidRPr="008E0C28">
        <w:rPr>
          <w:bCs/>
          <w:iCs/>
        </w:rPr>
        <w:t xml:space="preserve">‘Instructions’ tab: Bidder feedback is not required on this tab. </w:t>
      </w:r>
    </w:p>
    <w:p w14:paraId="7EDAE650" w14:textId="77777777" w:rsidR="008E0C28" w:rsidRDefault="008E0C28" w:rsidP="008E0C28">
      <w:pPr>
        <w:pStyle w:val="ListParagraph"/>
        <w:numPr>
          <w:ilvl w:val="0"/>
          <w:numId w:val="10"/>
        </w:numPr>
        <w:rPr>
          <w:bCs/>
          <w:iCs/>
        </w:rPr>
      </w:pPr>
      <w:r w:rsidRPr="008E0C28">
        <w:rPr>
          <w:bCs/>
          <w:iCs/>
        </w:rPr>
        <w:t>‘Bidder Overview’ tab: Seeks basic information regarding your company.</w:t>
      </w:r>
    </w:p>
    <w:p w14:paraId="5A13D8D5" w14:textId="379601A7" w:rsidR="008E0C28" w:rsidRPr="008E0C28" w:rsidRDefault="008E0C28" w:rsidP="008E0C28">
      <w:pPr>
        <w:pStyle w:val="ListParagraph"/>
        <w:numPr>
          <w:ilvl w:val="0"/>
          <w:numId w:val="10"/>
        </w:numPr>
        <w:rPr>
          <w:bCs/>
          <w:iCs/>
        </w:rPr>
      </w:pPr>
      <w:r w:rsidRPr="008E0C28">
        <w:rPr>
          <w:bCs/>
          <w:iCs/>
        </w:rPr>
        <w:t>‘Pricing Proposal’ tab</w:t>
      </w:r>
      <w:r w:rsidR="0006541A">
        <w:rPr>
          <w:bCs/>
          <w:iCs/>
        </w:rPr>
        <w:t>s</w:t>
      </w:r>
      <w:r w:rsidRPr="008E0C28">
        <w:rPr>
          <w:bCs/>
          <w:iCs/>
        </w:rPr>
        <w:t xml:space="preserve">:  </w:t>
      </w:r>
      <w:r w:rsidR="0006541A">
        <w:rPr>
          <w:bCs/>
          <w:iCs/>
        </w:rPr>
        <w:t>there is a tab for each property (Seneca Niagara &amp; Seneca Allegany)</w:t>
      </w:r>
      <w:r w:rsidRPr="008E0C28">
        <w:rPr>
          <w:bCs/>
          <w:iCs/>
        </w:rPr>
        <w:t xml:space="preserve">. </w:t>
      </w:r>
      <w:r w:rsidR="0006541A">
        <w:rPr>
          <w:bCs/>
          <w:iCs/>
        </w:rPr>
        <w:t xml:space="preserve"> </w:t>
      </w:r>
      <w:r w:rsidRPr="008E0C28">
        <w:rPr>
          <w:bCs/>
          <w:iCs/>
        </w:rPr>
        <w:t>Pricing may be submitted as a separate document.</w:t>
      </w:r>
    </w:p>
    <w:p w14:paraId="64D79E70" w14:textId="77777777" w:rsidR="00E96538" w:rsidRPr="00342236" w:rsidRDefault="00E96538" w:rsidP="00E96538">
      <w:pPr>
        <w:pStyle w:val="Heading2"/>
        <w:rPr>
          <w:rFonts w:eastAsia="Times New Roman"/>
        </w:rPr>
      </w:pPr>
      <w:bookmarkStart w:id="32" w:name="_Toc221178170"/>
      <w:r w:rsidRPr="00342236">
        <w:rPr>
          <w:rFonts w:eastAsia="Times New Roman"/>
        </w:rPr>
        <w:t>Pricing and Payment Terms</w:t>
      </w:r>
      <w:bookmarkEnd w:id="32"/>
    </w:p>
    <w:p w14:paraId="570AED54" w14:textId="781B4290" w:rsidR="00E96538" w:rsidRPr="00574363" w:rsidRDefault="00E96538" w:rsidP="00574363">
      <w:pPr>
        <w:ind w:left="720" w:firstLine="720"/>
      </w:pPr>
      <w:r w:rsidRPr="00961C9F">
        <w:t xml:space="preserve">Please provide your most competitive pricing and any additional offers. </w:t>
      </w:r>
      <w:r w:rsidR="007267C5">
        <w:t xml:space="preserve"> </w:t>
      </w:r>
    </w:p>
    <w:p w14:paraId="4D0E46D5" w14:textId="77777777" w:rsidR="00E96538" w:rsidRPr="00961C9F" w:rsidRDefault="00E96538" w:rsidP="00E96538">
      <w:pPr>
        <w:pStyle w:val="Heading2"/>
        <w:rPr>
          <w:rFonts w:eastAsia="Times New Roman"/>
        </w:rPr>
      </w:pPr>
      <w:bookmarkStart w:id="33" w:name="_Toc221178171"/>
      <w:r w:rsidRPr="00961C9F">
        <w:rPr>
          <w:rFonts w:eastAsia="Times New Roman"/>
        </w:rPr>
        <w:t>Tax Exempt Status</w:t>
      </w:r>
      <w:bookmarkEnd w:id="33"/>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34" w:name="_Toc221178172"/>
      <w:r w:rsidRPr="00961C9F">
        <w:rPr>
          <w:rFonts w:eastAsia="Times New Roman"/>
        </w:rPr>
        <w:t>Payment Terms</w:t>
      </w:r>
      <w:bookmarkEnd w:id="34"/>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w:t>
      </w:r>
      <w:r w:rsidRPr="00EA5550">
        <w:rPr>
          <w:rFonts w:eastAsia="Times New Roman" w:cstheme="minorHAnsi"/>
        </w:rPr>
        <w:lastRenderedPageBreak/>
        <w:t>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35" w:name="_Toc221178173"/>
      <w:r>
        <w:rPr>
          <w:rFonts w:eastAsia="Times New Roman"/>
        </w:rPr>
        <w:t>Supplemental Bidder Information</w:t>
      </w:r>
      <w:bookmarkEnd w:id="35"/>
    </w:p>
    <w:p w14:paraId="2F17EE1B" w14:textId="77777777" w:rsidR="00E96538" w:rsidRPr="00961C9F" w:rsidRDefault="00E96538" w:rsidP="00E96538">
      <w:pPr>
        <w:pStyle w:val="Heading2"/>
        <w:rPr>
          <w:rFonts w:eastAsia="Times New Roman"/>
        </w:rPr>
      </w:pPr>
      <w:bookmarkStart w:id="36" w:name="_Toc221178174"/>
      <w:r w:rsidRPr="00961C9F">
        <w:rPr>
          <w:rFonts w:eastAsia="Times New Roman"/>
        </w:rPr>
        <w:t>Conformity of Proposal with SGC Requirements</w:t>
      </w:r>
      <w:bookmarkEnd w:id="36"/>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37" w:name="_Toc221178175"/>
      <w:r w:rsidRPr="00961C9F">
        <w:rPr>
          <w:rFonts w:eastAsia="Times New Roman"/>
        </w:rPr>
        <w:t>Vendor Requirements</w:t>
      </w:r>
      <w:bookmarkEnd w:id="37"/>
    </w:p>
    <w:p w14:paraId="23762B08" w14:textId="77777777" w:rsidR="00E96538" w:rsidRPr="00961C9F" w:rsidRDefault="00E96538" w:rsidP="00E96538">
      <w:pPr>
        <w:pStyle w:val="Heading2"/>
        <w:rPr>
          <w:rFonts w:eastAsia="Times New Roman"/>
        </w:rPr>
      </w:pPr>
      <w:bookmarkStart w:id="38" w:name="_Toc221178176"/>
      <w:r w:rsidRPr="00961C9F">
        <w:rPr>
          <w:rFonts w:eastAsia="Times New Roman"/>
        </w:rPr>
        <w:t>Proposal</w:t>
      </w:r>
      <w:bookmarkEnd w:id="38"/>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69616AEC" w14:textId="77777777" w:rsidR="00D72C9A" w:rsidRDefault="00D72C9A" w:rsidP="00D72C9A">
      <w:pPr>
        <w:pStyle w:val="Heading2"/>
        <w:rPr>
          <w:rFonts w:eastAsia="Times New Roman"/>
        </w:rPr>
      </w:pPr>
      <w:bookmarkStart w:id="39" w:name="_Toc221178177"/>
      <w:r>
        <w:rPr>
          <w:rFonts w:eastAsia="Times New Roman"/>
        </w:rPr>
        <w:t>Seneca Nation Business Registration Fee (SNIBRF)</w:t>
      </w:r>
      <w:bookmarkEnd w:id="39"/>
    </w:p>
    <w:p w14:paraId="213A4F3B" w14:textId="77777777" w:rsidR="007267C5" w:rsidRDefault="00D72C9A" w:rsidP="00714976">
      <w:pPr>
        <w:rPr>
          <w:rFonts w:eastAsia="Times New Roman" w:cstheme="minorHAnsi"/>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p>
    <w:p w14:paraId="7A8C4336" w14:textId="77777777" w:rsidR="00E96538" w:rsidRDefault="00E96538" w:rsidP="00E96538">
      <w:pPr>
        <w:pStyle w:val="Heading1"/>
        <w:rPr>
          <w:rFonts w:eastAsia="Times New Roman"/>
        </w:rPr>
      </w:pPr>
      <w:bookmarkStart w:id="40" w:name="_Toc221178178"/>
      <w:r>
        <w:rPr>
          <w:rFonts w:eastAsia="Times New Roman"/>
        </w:rPr>
        <w:t xml:space="preserve">Bidder </w:t>
      </w:r>
      <w:r w:rsidRPr="0034489C">
        <w:rPr>
          <w:rFonts w:eastAsia="Times New Roman"/>
        </w:rPr>
        <w:t>Cert</w:t>
      </w:r>
      <w:r>
        <w:rPr>
          <w:rFonts w:eastAsia="Times New Roman"/>
        </w:rPr>
        <w:t>ifications and Representations</w:t>
      </w:r>
      <w:bookmarkEnd w:id="40"/>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lastRenderedPageBreak/>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3121" w14:textId="77777777" w:rsidR="003A044A" w:rsidRDefault="003A044A">
      <w:pPr>
        <w:spacing w:after="0" w:line="240" w:lineRule="auto"/>
      </w:pPr>
      <w:r>
        <w:separator/>
      </w:r>
    </w:p>
  </w:endnote>
  <w:endnote w:type="continuationSeparator" w:id="0">
    <w:p w14:paraId="4E6177B9" w14:textId="77777777" w:rsidR="003A044A" w:rsidRDefault="003A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A949" w14:textId="77777777" w:rsidR="003A044A" w:rsidRDefault="003A044A">
      <w:pPr>
        <w:spacing w:after="0" w:line="240" w:lineRule="auto"/>
      </w:pPr>
      <w:r>
        <w:separator/>
      </w:r>
    </w:p>
  </w:footnote>
  <w:footnote w:type="continuationSeparator" w:id="0">
    <w:p w14:paraId="32FA2004" w14:textId="77777777" w:rsidR="003A044A" w:rsidRDefault="003A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0024C"/>
    <w:multiLevelType w:val="hybridMultilevel"/>
    <w:tmpl w:val="A524C7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C934D2"/>
    <w:multiLevelType w:val="hybridMultilevel"/>
    <w:tmpl w:val="5358C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0"/>
  </w:num>
  <w:num w:numId="2">
    <w:abstractNumId w:val="6"/>
  </w:num>
  <w:num w:numId="3">
    <w:abstractNumId w:val="5"/>
  </w:num>
  <w:num w:numId="4">
    <w:abstractNumId w:val="8"/>
  </w:num>
  <w:num w:numId="5">
    <w:abstractNumId w:val="7"/>
  </w:num>
  <w:num w:numId="6">
    <w:abstractNumId w:val="0"/>
  </w:num>
  <w:num w:numId="7">
    <w:abstractNumId w:val="9"/>
  </w:num>
  <w:num w:numId="8">
    <w:abstractNumId w:val="1"/>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541A"/>
    <w:rsid w:val="000C5982"/>
    <w:rsid w:val="001363D7"/>
    <w:rsid w:val="00143363"/>
    <w:rsid w:val="0014705A"/>
    <w:rsid w:val="00216CD0"/>
    <w:rsid w:val="00235700"/>
    <w:rsid w:val="0023713C"/>
    <w:rsid w:val="00237E51"/>
    <w:rsid w:val="00240096"/>
    <w:rsid w:val="003401B6"/>
    <w:rsid w:val="003A044A"/>
    <w:rsid w:val="003E25F2"/>
    <w:rsid w:val="00456E00"/>
    <w:rsid w:val="00457F12"/>
    <w:rsid w:val="00470E46"/>
    <w:rsid w:val="00491CC7"/>
    <w:rsid w:val="004A5E35"/>
    <w:rsid w:val="004D32F5"/>
    <w:rsid w:val="004F2163"/>
    <w:rsid w:val="00516EC6"/>
    <w:rsid w:val="00574363"/>
    <w:rsid w:val="005F36EB"/>
    <w:rsid w:val="006A381D"/>
    <w:rsid w:val="006A7F0E"/>
    <w:rsid w:val="00714976"/>
    <w:rsid w:val="007267C5"/>
    <w:rsid w:val="0077626A"/>
    <w:rsid w:val="00797264"/>
    <w:rsid w:val="007B1204"/>
    <w:rsid w:val="007F794E"/>
    <w:rsid w:val="00806F87"/>
    <w:rsid w:val="008256B1"/>
    <w:rsid w:val="00834241"/>
    <w:rsid w:val="008D55DE"/>
    <w:rsid w:val="008E0C28"/>
    <w:rsid w:val="008E13E3"/>
    <w:rsid w:val="00911476"/>
    <w:rsid w:val="009367F7"/>
    <w:rsid w:val="009472A9"/>
    <w:rsid w:val="009D2F2D"/>
    <w:rsid w:val="00A66CA8"/>
    <w:rsid w:val="00AE4B06"/>
    <w:rsid w:val="00B04250"/>
    <w:rsid w:val="00B65C74"/>
    <w:rsid w:val="00BC6CF1"/>
    <w:rsid w:val="00BD282F"/>
    <w:rsid w:val="00BF6A37"/>
    <w:rsid w:val="00C60AFF"/>
    <w:rsid w:val="00D20F91"/>
    <w:rsid w:val="00D72C9A"/>
    <w:rsid w:val="00DB61C3"/>
    <w:rsid w:val="00DD6566"/>
    <w:rsid w:val="00E46A94"/>
    <w:rsid w:val="00E92F00"/>
    <w:rsid w:val="00E94FAD"/>
    <w:rsid w:val="00E96538"/>
    <w:rsid w:val="00EE6F09"/>
    <w:rsid w:val="00F13F2D"/>
    <w:rsid w:val="00F17DB1"/>
    <w:rsid w:val="00F43ED8"/>
    <w:rsid w:val="00F75F30"/>
    <w:rsid w:val="00FF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C345-444F-46B7-845B-63F1BDE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Lisa Fittante</cp:lastModifiedBy>
  <cp:revision>4</cp:revision>
  <cp:lastPrinted>2025-11-24T15:14:00Z</cp:lastPrinted>
  <dcterms:created xsi:type="dcterms:W3CDTF">2026-02-05T15:03:00Z</dcterms:created>
  <dcterms:modified xsi:type="dcterms:W3CDTF">2026-02-05T15:23:00Z</dcterms:modified>
</cp:coreProperties>
</file>