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485775</wp:posOffset>
                    </wp:positionH>
                    <wp:positionV relativeFrom="page">
                      <wp:posOffset>5257801</wp:posOffset>
                    </wp:positionV>
                    <wp:extent cx="7194550" cy="16383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638300"/>
                            </a:xfrm>
                            <a:prstGeom prst="rect">
                              <a:avLst/>
                            </a:prstGeom>
                            <a:noFill/>
                            <a:ln w="6350">
                              <a:noFill/>
                            </a:ln>
                            <a:effectLst/>
                          </wps:spPr>
                          <wps:txbx>
                            <w:txbxContent>
                              <w:p w:rsidR="00544D7F" w:rsidRPr="00C12407" w:rsidRDefault="00B34560" w:rsidP="00544D7F">
                                <w:pPr>
                                  <w:pStyle w:val="NoSpacing"/>
                                  <w:ind w:left="3690"/>
                                  <w:rPr>
                                    <w:color w:val="0070C0"/>
                                    <w:sz w:val="52"/>
                                    <w:szCs w:val="52"/>
                                  </w:rPr>
                                </w:pPr>
                                <w:r>
                                  <w:rPr>
                                    <w:color w:val="0070C0"/>
                                    <w:sz w:val="52"/>
                                    <w:szCs w:val="52"/>
                                  </w:rPr>
                                  <w:t>RANSOMWARE</w:t>
                                </w:r>
                                <w:r w:rsidR="001363D7">
                                  <w:rPr>
                                    <w:color w:val="595959" w:themeColor="text1" w:themeTint="A6"/>
                                    <w:sz w:val="44"/>
                                    <w:szCs w:val="44"/>
                                  </w:rPr>
                                  <w:t xml:space="preserve">  </w:t>
                                </w:r>
                                <w:r w:rsidR="00A66CA8">
                                  <w:rPr>
                                    <w:color w:val="595959" w:themeColor="text1" w:themeTint="A6"/>
                                    <w:sz w:val="44"/>
                                    <w:szCs w:val="44"/>
                                  </w:rPr>
                                  <w:t xml:space="preserve">             </w:t>
                                </w:r>
                                <w:r w:rsidR="00806F87">
                                  <w:rPr>
                                    <w:color w:val="595959" w:themeColor="text1" w:themeTint="A6"/>
                                    <w:sz w:val="44"/>
                                    <w:szCs w:val="44"/>
                                  </w:rPr>
                                  <w:t xml:space="preserve">                                  </w:t>
                                </w:r>
                                <w:r w:rsidR="00544D7F">
                                  <w:rPr>
                                    <w:color w:val="595959" w:themeColor="text1" w:themeTint="A6"/>
                                    <w:sz w:val="44"/>
                                    <w:szCs w:val="44"/>
                                  </w:rPr>
                                  <w:t xml:space="preserve">                    </w:t>
                                </w:r>
                                <w:r w:rsidR="00544D7F" w:rsidRPr="00C12407">
                                  <w:rPr>
                                    <w:color w:val="0070C0"/>
                                    <w:sz w:val="52"/>
                                    <w:szCs w:val="52"/>
                                  </w:rPr>
                                  <w:t>RECOVERY</w:t>
                                </w:r>
                                <w:r>
                                  <w:rPr>
                                    <w:color w:val="0070C0"/>
                                    <w:sz w:val="52"/>
                                    <w:szCs w:val="52"/>
                                  </w:rPr>
                                  <w:t xml:space="preserve"> PLATFORM</w:t>
                                </w:r>
                                <w:r w:rsidR="001363D7" w:rsidRPr="00C12407">
                                  <w:rPr>
                                    <w:color w:val="0070C0"/>
                                    <w:sz w:val="52"/>
                                    <w:szCs w:val="52"/>
                                  </w:rPr>
                                  <w:t xml:space="preserve"> </w:t>
                                </w:r>
                                <w:r w:rsidR="00544D7F" w:rsidRPr="00C12407">
                                  <w:rPr>
                                    <w:color w:val="0070C0"/>
                                    <w:sz w:val="52"/>
                                    <w:szCs w:val="52"/>
                                  </w:rPr>
                                  <w:t xml:space="preserve">                    </w:t>
                                </w:r>
                              </w:p>
                              <w:p w:rsidR="004F2163" w:rsidRPr="00544D7F" w:rsidRDefault="001363D7" w:rsidP="00544D7F">
                                <w:pPr>
                                  <w:pStyle w:val="NoSpacing"/>
                                  <w:ind w:left="2970"/>
                                  <w:rPr>
                                    <w:color w:val="00B0F0"/>
                                    <w:sz w:val="48"/>
                                    <w:szCs w:val="48"/>
                                    <w:highlight w:val="blue"/>
                                  </w:rPr>
                                </w:pPr>
                                <w:r w:rsidRPr="00C12407">
                                  <w:rPr>
                                    <w:color w:val="0070C0"/>
                                    <w:sz w:val="52"/>
                                    <w:szCs w:val="52"/>
                                  </w:rPr>
                                  <w:t xml:space="preserve">RFP </w:t>
                                </w:r>
                                <w:r w:rsidR="00806F87" w:rsidRPr="00C12407">
                                  <w:rPr>
                                    <w:color w:val="0070C0"/>
                                    <w:sz w:val="52"/>
                                    <w:szCs w:val="52"/>
                                  </w:rPr>
                                  <w:t>#</w:t>
                                </w:r>
                                <w:r w:rsidR="00B16A43">
                                  <w:rPr>
                                    <w:color w:val="0070C0"/>
                                    <w:sz w:val="52"/>
                                    <w:szCs w:val="52"/>
                                  </w:rPr>
                                  <w:t>SGC-00</w:t>
                                </w:r>
                                <w:r w:rsidR="00416615">
                                  <w:rPr>
                                    <w:color w:val="0070C0"/>
                                    <w:sz w:val="52"/>
                                    <w:szCs w:val="52"/>
                                  </w:rPr>
                                  <w:t>33</w:t>
                                </w:r>
                                <w:r w:rsidR="00544D7F" w:rsidRPr="00C12407">
                                  <w:rPr>
                                    <w:color w:val="0070C0"/>
                                    <w:sz w:val="52"/>
                                    <w:szCs w:val="52"/>
                                  </w:rPr>
                                  <w:t>-22CS</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70EA95" id="_x0000_t202" coordsize="21600,21600" o:spt="202" path="m,l,21600r21600,l21600,xe">
                    <v:stroke joinstyle="miter"/>
                    <v:path gradientshapeok="t" o:connecttype="rect"/>
                  </v:shapetype>
                  <v:shape id="_x0000_s1027" type="#_x0000_t202" style="position:absolute;left:0;text-align:left;margin-left:38.25pt;margin-top:414pt;width:566.5pt;height:12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" filled="f" stroked="f" strokeweight=".5pt">
                    <v:textbox inset="126pt,0,54pt,0">
                      <w:txbxContent>
                        <w:p w:rsidR="00544D7F" w:rsidRPr="00C12407" w:rsidRDefault="00B34560" w:rsidP="00544D7F">
                          <w:pPr>
                            <w:pStyle w:val="NoSpacing"/>
                            <w:ind w:left="3690"/>
                            <w:rPr>
                              <w:color w:val="0070C0"/>
                              <w:sz w:val="52"/>
                              <w:szCs w:val="52"/>
                            </w:rPr>
                          </w:pPr>
                          <w:r>
                            <w:rPr>
                              <w:color w:val="0070C0"/>
                              <w:sz w:val="52"/>
                              <w:szCs w:val="52"/>
                            </w:rPr>
                            <w:t>RANSOMWARE</w:t>
                          </w:r>
                          <w:r w:rsidR="001363D7">
                            <w:rPr>
                              <w:color w:val="595959" w:themeColor="text1" w:themeTint="A6"/>
                              <w:sz w:val="44"/>
                              <w:szCs w:val="44"/>
                            </w:rPr>
                            <w:t xml:space="preserve">  </w:t>
                          </w:r>
                          <w:r w:rsidR="00A66CA8">
                            <w:rPr>
                              <w:color w:val="595959" w:themeColor="text1" w:themeTint="A6"/>
                              <w:sz w:val="44"/>
                              <w:szCs w:val="44"/>
                            </w:rPr>
                            <w:t xml:space="preserve">             </w:t>
                          </w:r>
                          <w:r w:rsidR="00806F87">
                            <w:rPr>
                              <w:color w:val="595959" w:themeColor="text1" w:themeTint="A6"/>
                              <w:sz w:val="44"/>
                              <w:szCs w:val="44"/>
                            </w:rPr>
                            <w:t xml:space="preserve">                                  </w:t>
                          </w:r>
                          <w:r w:rsidR="00544D7F">
                            <w:rPr>
                              <w:color w:val="595959" w:themeColor="text1" w:themeTint="A6"/>
                              <w:sz w:val="44"/>
                              <w:szCs w:val="44"/>
                            </w:rPr>
                            <w:t xml:space="preserve">                    </w:t>
                          </w:r>
                          <w:r w:rsidR="00544D7F" w:rsidRPr="00C12407">
                            <w:rPr>
                              <w:color w:val="0070C0"/>
                              <w:sz w:val="52"/>
                              <w:szCs w:val="52"/>
                            </w:rPr>
                            <w:t>RECOVERY</w:t>
                          </w:r>
                          <w:r>
                            <w:rPr>
                              <w:color w:val="0070C0"/>
                              <w:sz w:val="52"/>
                              <w:szCs w:val="52"/>
                            </w:rPr>
                            <w:t xml:space="preserve"> PLATFORM</w:t>
                          </w:r>
                          <w:r w:rsidR="001363D7" w:rsidRPr="00C12407">
                            <w:rPr>
                              <w:color w:val="0070C0"/>
                              <w:sz w:val="52"/>
                              <w:szCs w:val="52"/>
                            </w:rPr>
                            <w:t xml:space="preserve"> </w:t>
                          </w:r>
                          <w:r w:rsidR="00544D7F" w:rsidRPr="00C12407">
                            <w:rPr>
                              <w:color w:val="0070C0"/>
                              <w:sz w:val="52"/>
                              <w:szCs w:val="52"/>
                            </w:rPr>
                            <w:t xml:space="preserve">                    </w:t>
                          </w:r>
                        </w:p>
                        <w:p w:rsidR="004F2163" w:rsidRPr="00544D7F" w:rsidRDefault="001363D7" w:rsidP="00544D7F">
                          <w:pPr>
                            <w:pStyle w:val="NoSpacing"/>
                            <w:ind w:left="2970"/>
                            <w:rPr>
                              <w:color w:val="00B0F0"/>
                              <w:sz w:val="48"/>
                              <w:szCs w:val="48"/>
                              <w:highlight w:val="blue"/>
                            </w:rPr>
                          </w:pPr>
                          <w:r w:rsidRPr="00C12407">
                            <w:rPr>
                              <w:color w:val="0070C0"/>
                              <w:sz w:val="52"/>
                              <w:szCs w:val="52"/>
                            </w:rPr>
                            <w:t xml:space="preserve">RFP </w:t>
                          </w:r>
                          <w:r w:rsidR="00806F87" w:rsidRPr="00C12407">
                            <w:rPr>
                              <w:color w:val="0070C0"/>
                              <w:sz w:val="52"/>
                              <w:szCs w:val="52"/>
                            </w:rPr>
                            <w:t>#</w:t>
                          </w:r>
                          <w:r w:rsidR="00B16A43">
                            <w:rPr>
                              <w:color w:val="0070C0"/>
                              <w:sz w:val="52"/>
                              <w:szCs w:val="52"/>
                            </w:rPr>
                            <w:t>SGC-00</w:t>
                          </w:r>
                          <w:r w:rsidR="00416615">
                            <w:rPr>
                              <w:color w:val="0070C0"/>
                              <w:sz w:val="52"/>
                              <w:szCs w:val="52"/>
                            </w:rPr>
                            <w:t>33</w:t>
                          </w:r>
                          <w:r w:rsidR="00544D7F" w:rsidRPr="00C12407">
                            <w:rPr>
                              <w:color w:val="0070C0"/>
                              <w:sz w:val="52"/>
                              <w:szCs w:val="52"/>
                            </w:rPr>
                            <w:t>-22CS</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4F2163" w:rsidRPr="003E48CF" w:rsidRDefault="004F2163" w:rsidP="00E96538">
                                <w:pPr>
                                  <w:pStyle w:val="NoSpacing"/>
                                  <w:jc w:val="right"/>
                                  <w:rPr>
                                    <w:color w:val="595959" w:themeColor="text1" w:themeTint="A6"/>
                                    <w:sz w:val="24"/>
                                    <w:szCs w:val="24"/>
                                  </w:rPr>
                                </w:pPr>
                                <w:r w:rsidRPr="003E48CF">
                                  <w:rPr>
                                    <w:color w:val="5B9BD5" w:themeColor="accent1"/>
                                    <w:sz w:val="24"/>
                                    <w:szCs w:val="24"/>
                                  </w:rPr>
                                  <w:t>The Seneca Gaming Corporation Procurement Department is requesting bid</w:t>
                                </w:r>
                                <w:r>
                                  <w:rPr>
                                    <w:color w:val="5B9BD5" w:themeColor="accent1"/>
                                    <w:sz w:val="24"/>
                                    <w:szCs w:val="24"/>
                                  </w:rPr>
                                  <w:t xml:space="preserve">s for the above-mentioned goods and/or </w:t>
                                </w:r>
                                <w:r w:rsidRPr="003E48CF">
                                  <w:rPr>
                                    <w:color w:val="5B9BD5" w:themeColor="accent1"/>
                                    <w:sz w:val="24"/>
                                    <w:szCs w:val="24"/>
                                  </w:rPr>
                                  <w:t>service</w:t>
                                </w:r>
                                <w:r>
                                  <w:rPr>
                                    <w:color w:val="5B9BD5" w:themeColor="accent1"/>
                                    <w:sz w:val="24"/>
                                    <w:szCs w:val="24"/>
                                  </w:rPr>
                                  <w:t>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4F2163" w:rsidRPr="003E48CF" w:rsidRDefault="004F2163" w:rsidP="00E96538">
                          <w:pPr>
                            <w:pStyle w:val="NoSpacing"/>
                            <w:jc w:val="right"/>
                            <w:rPr>
                              <w:color w:val="595959" w:themeColor="text1" w:themeTint="A6"/>
                              <w:sz w:val="24"/>
                              <w:szCs w:val="24"/>
                            </w:rPr>
                          </w:pPr>
                          <w:r w:rsidRPr="003E48CF">
                            <w:rPr>
                              <w:color w:val="5B9BD5" w:themeColor="accent1"/>
                              <w:sz w:val="24"/>
                              <w:szCs w:val="24"/>
                            </w:rPr>
                            <w:t>The Seneca Gaming Corporation Procurement Department is requesting bid</w:t>
                          </w:r>
                          <w:r>
                            <w:rPr>
                              <w:color w:val="5B9BD5" w:themeColor="accent1"/>
                              <w:sz w:val="24"/>
                              <w:szCs w:val="24"/>
                            </w:rPr>
                            <w:t xml:space="preserve">s for the above-mentioned goods and/or </w:t>
                          </w:r>
                          <w:r w:rsidRPr="003E48CF">
                            <w:rPr>
                              <w:color w:val="5B9BD5" w:themeColor="accent1"/>
                              <w:sz w:val="24"/>
                              <w:szCs w:val="24"/>
                            </w:rPr>
                            <w:t>service</w:t>
                          </w:r>
                          <w:r>
                            <w:rPr>
                              <w:color w:val="5B9BD5" w:themeColor="accent1"/>
                              <w:sz w:val="24"/>
                              <w:szCs w:val="24"/>
                            </w:rPr>
                            <w:t>s</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4F2163" w:rsidRPr="00C12407" w:rsidRDefault="00750D54" w:rsidP="00E96538">
                                <w:pPr>
                                  <w:pStyle w:val="NoSpacing"/>
                                  <w:jc w:val="right"/>
                                  <w:rPr>
                                    <w:color w:val="0070C0"/>
                                    <w:sz w:val="36"/>
                                    <w:szCs w:val="36"/>
                                  </w:rPr>
                                </w:pPr>
                                <w:r>
                                  <w:rPr>
                                    <w:color w:val="0070C0"/>
                                    <w:sz w:val="36"/>
                                    <w:szCs w:val="36"/>
                                  </w:rPr>
                                  <w:t>February</w:t>
                                </w:r>
                                <w:r w:rsidR="00A66CA8" w:rsidRPr="00C12407">
                                  <w:rPr>
                                    <w:color w:val="0070C0"/>
                                    <w:sz w:val="36"/>
                                    <w:szCs w:val="36"/>
                                  </w:rPr>
                                  <w:t xml:space="preserve"> </w:t>
                                </w:r>
                                <w:r w:rsidR="00416615">
                                  <w:rPr>
                                    <w:color w:val="0070C0"/>
                                    <w:sz w:val="36"/>
                                    <w:szCs w:val="36"/>
                                  </w:rPr>
                                  <w:t>2</w:t>
                                </w:r>
                                <w:r w:rsidR="00FE5C82">
                                  <w:rPr>
                                    <w:color w:val="0070C0"/>
                                    <w:sz w:val="36"/>
                                    <w:szCs w:val="36"/>
                                  </w:rPr>
                                  <w:t>8</w:t>
                                </w:r>
                                <w:r>
                                  <w:rPr>
                                    <w:color w:val="0070C0"/>
                                    <w:sz w:val="36"/>
                                    <w:szCs w:val="36"/>
                                  </w:rPr>
                                  <w:t>, 2022</w:t>
                                </w:r>
                              </w:p>
                              <w:p w:rsidR="004F2163" w:rsidRDefault="004F216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95EC6"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4F2163" w:rsidRPr="00C12407" w:rsidRDefault="00750D54" w:rsidP="00E96538">
                          <w:pPr>
                            <w:pStyle w:val="NoSpacing"/>
                            <w:jc w:val="right"/>
                            <w:rPr>
                              <w:color w:val="0070C0"/>
                              <w:sz w:val="36"/>
                              <w:szCs w:val="36"/>
                            </w:rPr>
                          </w:pPr>
                          <w:r>
                            <w:rPr>
                              <w:color w:val="0070C0"/>
                              <w:sz w:val="36"/>
                              <w:szCs w:val="36"/>
                            </w:rPr>
                            <w:t>February</w:t>
                          </w:r>
                          <w:r w:rsidR="00A66CA8" w:rsidRPr="00C12407">
                            <w:rPr>
                              <w:color w:val="0070C0"/>
                              <w:sz w:val="36"/>
                              <w:szCs w:val="36"/>
                            </w:rPr>
                            <w:t xml:space="preserve"> </w:t>
                          </w:r>
                          <w:r w:rsidR="00416615">
                            <w:rPr>
                              <w:color w:val="0070C0"/>
                              <w:sz w:val="36"/>
                              <w:szCs w:val="36"/>
                            </w:rPr>
                            <w:t>2</w:t>
                          </w:r>
                          <w:r w:rsidR="00FE5C82">
                            <w:rPr>
                              <w:color w:val="0070C0"/>
                              <w:sz w:val="36"/>
                              <w:szCs w:val="36"/>
                            </w:rPr>
                            <w:t>8</w:t>
                          </w:r>
                          <w:r>
                            <w:rPr>
                              <w:color w:val="0070C0"/>
                              <w:sz w:val="36"/>
                              <w:szCs w:val="36"/>
                            </w:rPr>
                            <w:t>, 2022</w:t>
                          </w:r>
                        </w:p>
                        <w:p w:rsidR="004F2163" w:rsidRDefault="004F216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163" w:rsidRDefault="007A7A7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4F2163" w:rsidRDefault="00750D5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401D0C" w:rsidRDefault="00401D0C" w:rsidP="00401D0C">
          <w:pPr>
            <w:pStyle w:val="TOCHeading"/>
            <w:numPr>
              <w:ilvl w:val="0"/>
              <w:numId w:val="0"/>
            </w:numPr>
          </w:pPr>
        </w:p>
        <w:p w:rsidR="00E96538" w:rsidRDefault="007A7A75" w:rsidP="00E96538"/>
      </w:sdtContent>
    </w:sdt>
    <w:p w:rsidR="00E96538" w:rsidRPr="00C12407" w:rsidRDefault="00E96538" w:rsidP="00401D0C">
      <w:pPr>
        <w:rPr>
          <w:rFonts w:asciiTheme="majorHAnsi" w:eastAsiaTheme="majorEastAsia" w:hAnsiTheme="majorHAnsi" w:cstheme="majorBidi"/>
          <w:color w:val="0070C0"/>
          <w:sz w:val="32"/>
          <w:szCs w:val="32"/>
        </w:rPr>
      </w:pPr>
      <w:bookmarkStart w:id="1" w:name="_Toc17988920"/>
      <w:r w:rsidRPr="00C12407">
        <w:rPr>
          <w:color w:val="0070C0"/>
          <w:sz w:val="32"/>
          <w:szCs w:val="32"/>
        </w:rPr>
        <w:t>Introduction</w:t>
      </w:r>
      <w:bookmarkEnd w:id="1"/>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2" w:name="_Toc17988921"/>
      <w:r>
        <w:t>RFP Objective</w:t>
      </w:r>
      <w:bookmarkEnd w:id="2"/>
    </w:p>
    <w:p w:rsidR="00E96538" w:rsidRPr="00AB31A0" w:rsidRDefault="00C12407" w:rsidP="00177D10">
      <w:pPr>
        <w:spacing w:before="120" w:after="120" w:line="240" w:lineRule="auto"/>
        <w:ind w:left="720"/>
        <w:rPr>
          <w:rFonts w:eastAsia="Times New Roman" w:cstheme="minorHAnsi"/>
          <w:sz w:val="24"/>
          <w:szCs w:val="24"/>
        </w:rPr>
      </w:pPr>
      <w:r w:rsidRPr="00C12407">
        <w:rPr>
          <w:rFonts w:eastAsia="Times New Roman" w:cstheme="minorHAnsi"/>
          <w:sz w:val="24"/>
          <w:szCs w:val="24"/>
        </w:rPr>
        <w:t>Seneca Gaming Corporation (hereinafter referred to as SGC) is seeking a</w:t>
      </w:r>
      <w:r w:rsidR="00177D10">
        <w:rPr>
          <w:rFonts w:eastAsia="Times New Roman" w:cstheme="minorHAnsi"/>
          <w:sz w:val="24"/>
          <w:szCs w:val="24"/>
        </w:rPr>
        <w:t xml:space="preserve"> qualified partner to deliver a </w:t>
      </w:r>
      <w:r w:rsidR="00964B53">
        <w:rPr>
          <w:rFonts w:eastAsia="Times New Roman" w:cstheme="minorHAnsi"/>
          <w:sz w:val="24"/>
          <w:szCs w:val="24"/>
        </w:rPr>
        <w:t xml:space="preserve">recovery platform solution that includes the necessary </w:t>
      </w:r>
      <w:r w:rsidR="00551058">
        <w:rPr>
          <w:rFonts w:eastAsia="Times New Roman" w:cstheme="minorHAnsi"/>
          <w:sz w:val="24"/>
          <w:szCs w:val="24"/>
        </w:rPr>
        <w:t>target environment to run T</w:t>
      </w:r>
      <w:r w:rsidR="00177D10">
        <w:rPr>
          <w:rFonts w:eastAsia="Times New Roman" w:cstheme="minorHAnsi"/>
          <w:sz w:val="24"/>
          <w:szCs w:val="24"/>
        </w:rPr>
        <w:t>ier 0/1/2 infrastructure and applications in the event current data centers are unusable from a ransomware or similar type of cyber event</w:t>
      </w:r>
      <w:r w:rsidR="00551058">
        <w:rPr>
          <w:rFonts w:eastAsia="Times New Roman" w:cstheme="minorHAnsi"/>
          <w:sz w:val="24"/>
          <w:szCs w:val="24"/>
        </w:rPr>
        <w:t xml:space="preserve">. Total solution should include </w:t>
      </w:r>
      <w:r w:rsidR="00177D10">
        <w:rPr>
          <w:rFonts w:eastAsia="Times New Roman" w:cstheme="minorHAnsi"/>
          <w:sz w:val="24"/>
          <w:szCs w:val="24"/>
        </w:rPr>
        <w:t>tool sets</w:t>
      </w:r>
      <w:r w:rsidR="00964B53">
        <w:rPr>
          <w:rFonts w:eastAsia="Times New Roman" w:cstheme="minorHAnsi"/>
          <w:sz w:val="24"/>
          <w:szCs w:val="24"/>
        </w:rPr>
        <w:t xml:space="preserve"> to confirm data is clean of malware/ransomware</w:t>
      </w:r>
      <w:r w:rsidR="00551058">
        <w:rPr>
          <w:rFonts w:eastAsia="Times New Roman" w:cstheme="minorHAnsi"/>
          <w:sz w:val="24"/>
          <w:szCs w:val="24"/>
        </w:rPr>
        <w:t xml:space="preserve">, etc prior to writing to an immutable target or during restore process prior to placing data in the new </w:t>
      </w:r>
      <w:r w:rsidR="00177D10">
        <w:rPr>
          <w:rFonts w:eastAsia="Times New Roman" w:cstheme="minorHAnsi"/>
          <w:sz w:val="24"/>
          <w:szCs w:val="24"/>
        </w:rPr>
        <w:t xml:space="preserve">production </w:t>
      </w:r>
      <w:r w:rsidR="00551058">
        <w:rPr>
          <w:rFonts w:eastAsia="Times New Roman" w:cstheme="minorHAnsi"/>
          <w:sz w:val="24"/>
          <w:szCs w:val="24"/>
        </w:rPr>
        <w:t>environment.</w:t>
      </w:r>
      <w:r w:rsidR="00177D10">
        <w:rPr>
          <w:rFonts w:eastAsia="Times New Roman" w:cstheme="minorHAnsi"/>
          <w:sz w:val="24"/>
          <w:szCs w:val="24"/>
        </w:rPr>
        <w:t xml:space="preserve"> Solutions will need to be resilient and robust to support multiple facilities data centers providing the best possible RPOs and RTOs. Selected bidders will be given the opportunity to review solutions and update/finalize equipment/licensing as needed based on additional understandings. T</w:t>
      </w:r>
      <w:r w:rsidR="00551058">
        <w:rPr>
          <w:rFonts w:eastAsia="Times New Roman" w:cstheme="minorHAnsi"/>
          <w:sz w:val="24"/>
          <w:szCs w:val="24"/>
        </w:rPr>
        <w:t>arget solution</w:t>
      </w:r>
      <w:r w:rsidR="00177D10">
        <w:rPr>
          <w:rFonts w:eastAsia="Times New Roman" w:cstheme="minorHAnsi"/>
          <w:sz w:val="24"/>
          <w:szCs w:val="24"/>
        </w:rPr>
        <w:t>/equipment</w:t>
      </w:r>
      <w:r w:rsidR="00551058">
        <w:rPr>
          <w:rFonts w:eastAsia="Times New Roman" w:cstheme="minorHAnsi"/>
          <w:sz w:val="24"/>
          <w:szCs w:val="24"/>
        </w:rPr>
        <w:t xml:space="preserve"> can be on premise, on a contract schedule, cloud based, but should be able to run the full environment over current connectivity</w:t>
      </w:r>
      <w:r w:rsidR="00177D10">
        <w:rPr>
          <w:rFonts w:eastAsia="Times New Roman" w:cstheme="minorHAnsi"/>
          <w:sz w:val="24"/>
          <w:szCs w:val="24"/>
        </w:rPr>
        <w:t>. Solution can work independent or in conjunction with existing data protection solutions at SGC. Please refer to Section III A. and B. Estimated decision to be made by the end of second quarter 2022.</w:t>
      </w:r>
    </w:p>
    <w:p w:rsidR="00E96538" w:rsidRDefault="00E96538" w:rsidP="00E96538">
      <w:pPr>
        <w:pStyle w:val="Heading1"/>
      </w:pPr>
      <w:bookmarkStart w:id="3" w:name="_Toc17988922"/>
      <w:r>
        <w:t>RFP Administrative Information</w:t>
      </w:r>
      <w:bookmarkEnd w:id="3"/>
    </w:p>
    <w:p w:rsidR="00E96538" w:rsidRDefault="00E96538" w:rsidP="00E96538">
      <w:pPr>
        <w:pStyle w:val="Heading2"/>
      </w:pPr>
      <w:bookmarkStart w:id="4" w:name="_Toc17988923"/>
      <w:r>
        <w:t>Contact Information</w:t>
      </w:r>
      <w:bookmarkEnd w:id="4"/>
    </w:p>
    <w:p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C12407">
        <w:rPr>
          <w:sz w:val="24"/>
          <w:szCs w:val="24"/>
        </w:rPr>
        <w:t xml:space="preserve">Charles Saxe </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C12407" w:rsidRPr="00715CE1">
          <w:rPr>
            <w:rStyle w:val="Hyperlink"/>
            <w:sz w:val="24"/>
            <w:szCs w:val="24"/>
          </w:rPr>
          <w:t>csaxe@senecacasinos.com</w:t>
        </w:r>
      </w:hyperlink>
      <w:r w:rsidR="00C12407">
        <w:rPr>
          <w:sz w:val="24"/>
          <w:szCs w:val="24"/>
        </w:rPr>
        <w:t xml:space="preserve"> </w:t>
      </w:r>
    </w:p>
    <w:p w:rsidR="00E96538" w:rsidRDefault="00E96538" w:rsidP="00E96538">
      <w:pPr>
        <w:pStyle w:val="Heading2"/>
      </w:pPr>
      <w:bookmarkStart w:id="5" w:name="_Toc17988924"/>
      <w:r>
        <w:lastRenderedPageBreak/>
        <w:t>Schedule of Events</w:t>
      </w:r>
      <w:bookmarkEnd w:id="5"/>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625C2D">
        <w:rPr>
          <w:sz w:val="24"/>
          <w:szCs w:val="24"/>
        </w:rPr>
        <w:t>February 2</w:t>
      </w:r>
      <w:r w:rsidR="00FE5C82">
        <w:rPr>
          <w:sz w:val="24"/>
          <w:szCs w:val="24"/>
        </w:rPr>
        <w:t>8</w:t>
      </w:r>
      <w:r w:rsidR="00625C2D">
        <w:rPr>
          <w:sz w:val="24"/>
          <w:szCs w:val="24"/>
        </w:rPr>
        <w:t>, 2022</w:t>
      </w:r>
    </w:p>
    <w:p w:rsidR="00E96538"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625C2D">
        <w:rPr>
          <w:sz w:val="24"/>
          <w:szCs w:val="24"/>
        </w:rPr>
        <w:t xml:space="preserve">March </w:t>
      </w:r>
      <w:r w:rsidR="001F7E70">
        <w:rPr>
          <w:sz w:val="24"/>
          <w:szCs w:val="24"/>
        </w:rPr>
        <w:t>7</w:t>
      </w:r>
      <w:r w:rsidR="00C12407">
        <w:rPr>
          <w:sz w:val="24"/>
          <w:szCs w:val="24"/>
        </w:rPr>
        <w:t xml:space="preserve">, 2022 </w:t>
      </w:r>
    </w:p>
    <w:p w:rsidR="006C2FA0" w:rsidRDefault="006C2FA0" w:rsidP="00E96538">
      <w:pPr>
        <w:spacing w:before="120" w:after="120"/>
        <w:ind w:left="1440" w:firstLine="720"/>
        <w:rPr>
          <w:sz w:val="24"/>
          <w:szCs w:val="24"/>
        </w:rPr>
      </w:pPr>
      <w:r>
        <w:rPr>
          <w:sz w:val="24"/>
          <w:szCs w:val="24"/>
        </w:rPr>
        <w:t>Answers to questions by:                      March 14, 2022</w:t>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1C1735">
        <w:rPr>
          <w:b/>
          <w:sz w:val="24"/>
          <w:szCs w:val="24"/>
        </w:rPr>
        <w:t>Tuesday</w:t>
      </w:r>
      <w:r w:rsidR="00A757C7">
        <w:rPr>
          <w:b/>
          <w:sz w:val="24"/>
          <w:szCs w:val="24"/>
        </w:rPr>
        <w:t xml:space="preserve">, </w:t>
      </w:r>
      <w:r w:rsidR="00625C2D">
        <w:rPr>
          <w:b/>
          <w:sz w:val="24"/>
          <w:szCs w:val="24"/>
        </w:rPr>
        <w:t xml:space="preserve">March </w:t>
      </w:r>
      <w:r w:rsidR="001C1735">
        <w:rPr>
          <w:b/>
          <w:sz w:val="24"/>
          <w:szCs w:val="24"/>
        </w:rPr>
        <w:t>22</w:t>
      </w:r>
      <w:r w:rsidR="00C12407">
        <w:rPr>
          <w:b/>
          <w:sz w:val="24"/>
          <w:szCs w:val="24"/>
        </w:rPr>
        <w:t xml:space="preserve">, 2022 </w:t>
      </w:r>
      <w:r w:rsidRPr="00AB31A0">
        <w:rPr>
          <w:b/>
          <w:sz w:val="24"/>
          <w:szCs w:val="24"/>
        </w:rPr>
        <w:t>by 5:00 PM Eastern Time</w:t>
      </w:r>
    </w:p>
    <w:p w:rsidR="00E96538" w:rsidRDefault="00E96538" w:rsidP="00E96538">
      <w:pPr>
        <w:pStyle w:val="Heading2"/>
        <w:rPr>
          <w:rFonts w:eastAsia="Times New Roman"/>
        </w:rPr>
      </w:pPr>
      <w:bookmarkStart w:id="6" w:name="_Toc17988925"/>
      <w:r>
        <w:rPr>
          <w:rFonts w:eastAsia="Times New Roman"/>
        </w:rPr>
        <w:t>Intent to Bid</w:t>
      </w:r>
      <w:bookmarkEnd w:id="6"/>
    </w:p>
    <w:p w:rsidR="00E96538" w:rsidRDefault="00E96538" w:rsidP="00E96538">
      <w:pPr>
        <w:ind w:left="1440"/>
        <w:jc w:val="both"/>
      </w:pPr>
      <w:r>
        <w:t>Potential Bidders must submit an email confirming their intent to bid to the Coordinating Buyer by the date and time indicated in the above schedule of events.</w:t>
      </w:r>
    </w:p>
    <w:p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rsidR="00E96538" w:rsidRPr="00CC3D40" w:rsidRDefault="00E96538" w:rsidP="00E96538">
      <w:pPr>
        <w:pStyle w:val="Heading2"/>
        <w:rPr>
          <w:rFonts w:eastAsia="Times New Roman"/>
        </w:rPr>
      </w:pPr>
      <w:bookmarkStart w:id="7" w:name="_Toc17988926"/>
      <w:r>
        <w:rPr>
          <w:rFonts w:eastAsia="Times New Roman"/>
        </w:rPr>
        <w:t xml:space="preserve">Bidder </w:t>
      </w:r>
      <w:r w:rsidRPr="00CC3D40">
        <w:rPr>
          <w:rFonts w:eastAsia="Times New Roman"/>
        </w:rPr>
        <w:t>Questions</w:t>
      </w:r>
      <w:bookmarkEnd w:id="7"/>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rsidR="00456E00" w:rsidRPr="00CC3D40" w:rsidRDefault="00456E00" w:rsidP="00456E00">
      <w:pPr>
        <w:pStyle w:val="Heading2"/>
        <w:rPr>
          <w:rFonts w:eastAsia="Times New Roman"/>
        </w:rPr>
      </w:pPr>
      <w:bookmarkStart w:id="8" w:name="_Toc17728971"/>
      <w:bookmarkStart w:id="9" w:name="_Toc17988927"/>
      <w:r w:rsidRPr="00CC3D40">
        <w:rPr>
          <w:rFonts w:eastAsia="Times New Roman"/>
        </w:rPr>
        <w:t>Submission of Proposals</w:t>
      </w:r>
      <w:bookmarkEnd w:id="8"/>
      <w:bookmarkEnd w:id="9"/>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10" w:name="_Toc17728972"/>
      <w:bookmarkStart w:id="11" w:name="_Toc17988929"/>
      <w:r w:rsidRPr="00EE18DD">
        <w:rPr>
          <w:rFonts w:eastAsia="Times New Roman"/>
        </w:rPr>
        <w:t>Proposal Format</w:t>
      </w:r>
      <w:bookmarkEnd w:id="10"/>
      <w:bookmarkEnd w:id="11"/>
    </w:p>
    <w:p w:rsidR="00834241" w:rsidRPr="00371E1A" w:rsidRDefault="00834241" w:rsidP="00834241">
      <w:pPr>
        <w:ind w:left="720" w:firstLine="720"/>
        <w:rPr>
          <w:rFonts w:eastAsia="Times New Roman" w:cstheme="minorHAnsi"/>
        </w:rPr>
      </w:pPr>
      <w:r w:rsidRPr="00EF39BA">
        <w:rPr>
          <w:rFonts w:eastAsia="Times New Roman" w:cstheme="minorHAnsi"/>
          <w:b/>
        </w:rPr>
        <w:t>Bidder proposals must conform to the following proposal format</w:t>
      </w:r>
      <w:r w:rsidRPr="00EF39BA">
        <w:rPr>
          <w:rFonts w:eastAsia="Times New Roman" w:cstheme="minorHAnsi"/>
        </w:rPr>
        <w:t>:</w:t>
      </w:r>
    </w:p>
    <w:p w:rsidR="00834241" w:rsidRDefault="00834241" w:rsidP="00834241">
      <w:pPr>
        <w:spacing w:after="120"/>
        <w:ind w:left="720" w:firstLine="720"/>
        <w:rPr>
          <w:b/>
          <w:sz w:val="24"/>
          <w:szCs w:val="24"/>
        </w:rPr>
      </w:pPr>
      <w:r>
        <w:rPr>
          <w:b/>
          <w:sz w:val="24"/>
          <w:szCs w:val="24"/>
        </w:rPr>
        <w:t>Part-1</w:t>
      </w:r>
      <w:r>
        <w:rPr>
          <w:b/>
          <w:sz w:val="24"/>
          <w:szCs w:val="24"/>
        </w:rPr>
        <w:tab/>
        <w:t>Company Overview</w:t>
      </w:r>
    </w:p>
    <w:p w:rsidR="00834241" w:rsidRPr="00313EAB" w:rsidRDefault="00834241" w:rsidP="00834241">
      <w:pPr>
        <w:spacing w:after="120"/>
        <w:ind w:left="720" w:firstLine="720"/>
        <w:rPr>
          <w:u w:val="single"/>
        </w:rPr>
      </w:pPr>
      <w:r>
        <w:rPr>
          <w:u w:val="single"/>
        </w:rPr>
        <w:t>Section 1</w:t>
      </w:r>
      <w:r w:rsidRPr="00313EAB">
        <w:rPr>
          <w:u w:val="single"/>
        </w:rPr>
        <w:t>: Company Overview</w:t>
      </w:r>
    </w:p>
    <w:p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rsidR="00834241" w:rsidRPr="00313EAB" w:rsidRDefault="00834241" w:rsidP="00834241">
      <w:pPr>
        <w:spacing w:after="120"/>
        <w:ind w:left="720" w:firstLine="720"/>
        <w:rPr>
          <w:u w:val="single"/>
        </w:rPr>
      </w:pPr>
      <w:r>
        <w:rPr>
          <w:u w:val="single"/>
        </w:rPr>
        <w:t>Section 2</w:t>
      </w:r>
      <w:r w:rsidRPr="00313EAB">
        <w:rPr>
          <w:u w:val="single"/>
        </w:rPr>
        <w:t>: References</w:t>
      </w:r>
    </w:p>
    <w:p w:rsidR="00834241" w:rsidRPr="00741673" w:rsidRDefault="00834241" w:rsidP="00834241">
      <w:pPr>
        <w:ind w:left="1440"/>
        <w:jc w:val="both"/>
      </w:pPr>
      <w:r w:rsidRPr="00294673">
        <w:lastRenderedPageBreak/>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rsidR="00834241" w:rsidRPr="00313EAB" w:rsidRDefault="00834241" w:rsidP="00834241">
      <w:pPr>
        <w:spacing w:after="120"/>
        <w:ind w:left="720" w:firstLine="720"/>
        <w:rPr>
          <w:b/>
          <w:sz w:val="24"/>
          <w:szCs w:val="24"/>
        </w:rPr>
      </w:pPr>
      <w:r>
        <w:rPr>
          <w:b/>
          <w:sz w:val="24"/>
          <w:szCs w:val="24"/>
        </w:rPr>
        <w:t>Part-2 RFP Proposal</w:t>
      </w:r>
    </w:p>
    <w:p w:rsidR="00834241" w:rsidRPr="00313EAB" w:rsidRDefault="00834241" w:rsidP="00834241">
      <w:pPr>
        <w:spacing w:after="120"/>
        <w:ind w:left="720" w:firstLine="720"/>
        <w:rPr>
          <w:u w:val="single"/>
        </w:rPr>
      </w:pPr>
      <w:r w:rsidRPr="00313EAB">
        <w:rPr>
          <w:u w:val="single"/>
        </w:rPr>
        <w:t>Section 1: Executive Summary</w:t>
      </w:r>
    </w:p>
    <w:p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rsidR="00834241" w:rsidRPr="006E3BF0" w:rsidRDefault="00834241" w:rsidP="00834241">
      <w:pPr>
        <w:ind w:left="1440"/>
        <w:jc w:val="both"/>
        <w:rPr>
          <w:u w:val="single"/>
        </w:rPr>
      </w:pPr>
      <w:r w:rsidRPr="006E3BF0">
        <w:rPr>
          <w:u w:val="single"/>
        </w:rPr>
        <w:t>Section 1: Pricing Model and Terms</w:t>
      </w:r>
    </w:p>
    <w:p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lastRenderedPageBreak/>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2" w:name="_Toc17988930"/>
      <w:r w:rsidRPr="00325DC1">
        <w:rPr>
          <w:rFonts w:eastAsia="Times New Roman"/>
        </w:rPr>
        <w:t>Propo</w:t>
      </w:r>
      <w:r>
        <w:rPr>
          <w:rFonts w:eastAsia="Times New Roman"/>
        </w:rPr>
        <w:t>sal Evaluation/Vendor Selection</w:t>
      </w:r>
      <w:bookmarkEnd w:id="12"/>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 xml:space="preserve">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w:t>
      </w:r>
      <w:r w:rsidRPr="00294673">
        <w:lastRenderedPageBreak/>
        <w:t>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3" w:name="_Toc17988931"/>
      <w:r>
        <w:rPr>
          <w:rFonts w:eastAsia="Times New Roman"/>
        </w:rPr>
        <w:t>General Bidder Information</w:t>
      </w:r>
      <w:bookmarkEnd w:id="13"/>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4" w:name="_Toc17988932"/>
      <w:r w:rsidRPr="00961C9F">
        <w:rPr>
          <w:rFonts w:eastAsia="Times New Roman"/>
        </w:rPr>
        <w:t>SGC Standard Terms and Conditions</w:t>
      </w:r>
      <w:bookmarkEnd w:id="14"/>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5" w:name="_Toc17988933"/>
      <w:r w:rsidRPr="00D059D0">
        <w:rPr>
          <w:rFonts w:eastAsia="Times New Roman"/>
        </w:rPr>
        <w:lastRenderedPageBreak/>
        <w:t>Provisions Applicable to the Contract</w:t>
      </w:r>
      <w:bookmarkEnd w:id="15"/>
    </w:p>
    <w:p w:rsidR="00E96538" w:rsidRDefault="00E96538" w:rsidP="00E96538">
      <w:pPr>
        <w:pStyle w:val="Heading2"/>
        <w:rPr>
          <w:rFonts w:eastAsia="Times New Roman"/>
        </w:rPr>
      </w:pPr>
      <w:bookmarkStart w:id="16" w:name="_Toc17988934"/>
      <w:r>
        <w:rPr>
          <w:rFonts w:eastAsia="Times New Roman"/>
        </w:rPr>
        <w:t>Agreement Term</w:t>
      </w:r>
      <w:bookmarkEnd w:id="16"/>
    </w:p>
    <w:p w:rsidR="005D16E5" w:rsidRDefault="00560743" w:rsidP="00E96538">
      <w:pPr>
        <w:spacing w:after="0"/>
        <w:ind w:left="1440"/>
        <w:jc w:val="both"/>
      </w:pPr>
      <w:r>
        <w:t xml:space="preserve">SGC is seeking a 5 year agreement for </w:t>
      </w:r>
      <w:r w:rsidR="001426B4">
        <w:t xml:space="preserve">the solution hardware/software </w:t>
      </w:r>
      <w:r>
        <w:t>maintenance</w:t>
      </w:r>
      <w:r w:rsidR="001426B4">
        <w:t>, licensing</w:t>
      </w:r>
      <w:r>
        <w:t xml:space="preserve"> and</w:t>
      </w:r>
      <w:r w:rsidR="001426B4">
        <w:t>/or subscription based services.</w:t>
      </w:r>
    </w:p>
    <w:p w:rsidR="00E96538" w:rsidRPr="00EA5550" w:rsidRDefault="00EF39BA" w:rsidP="00E96538">
      <w:pPr>
        <w:spacing w:after="0"/>
        <w:ind w:left="1440"/>
        <w:jc w:val="both"/>
      </w:pPr>
      <w:r>
        <w:t xml:space="preserve"> </w:t>
      </w:r>
      <w:r w:rsidR="00E96538" w:rsidRPr="00EA5550">
        <w:t xml:space="preserve"> </w:t>
      </w:r>
    </w:p>
    <w:p w:rsidR="00E96538" w:rsidRDefault="00E96538" w:rsidP="00E96538">
      <w:pPr>
        <w:pStyle w:val="Heading2"/>
      </w:pPr>
      <w:bookmarkStart w:id="17" w:name="_Toc17988935"/>
      <w:r>
        <w:t>Requirements</w:t>
      </w:r>
      <w:r w:rsidR="004D32F5">
        <w:t xml:space="preserve"> Specification</w:t>
      </w:r>
      <w:bookmarkEnd w:id="17"/>
    </w:p>
    <w:p w:rsidR="00B4539F" w:rsidRDefault="00B4539F" w:rsidP="001426B4">
      <w:pPr>
        <w:tabs>
          <w:tab w:val="left" w:pos="1520"/>
        </w:tabs>
        <w:ind w:left="1440"/>
      </w:pPr>
      <w:r w:rsidRPr="00B4539F">
        <w:t xml:space="preserve">The solution must provide a </w:t>
      </w:r>
      <w:r w:rsidR="001426B4">
        <w:t>complete</w:t>
      </w:r>
      <w:r w:rsidRPr="00B4539F">
        <w:t xml:space="preserve"> approach to recovery</w:t>
      </w:r>
      <w:r w:rsidR="001426B4">
        <w:t xml:space="preserve"> from a Cyber/Ransomware </w:t>
      </w:r>
      <w:r w:rsidR="00170CEC">
        <w:t xml:space="preserve">event </w:t>
      </w:r>
      <w:r w:rsidR="001426B4">
        <w:t xml:space="preserve">and include all necessary components to restore </w:t>
      </w:r>
      <w:r w:rsidR="00170CEC">
        <w:t xml:space="preserve">all locations </w:t>
      </w:r>
      <w:r w:rsidR="001426B4">
        <w:t>in the event current data centers are not available. Solution should include tool set to perform forensics confirming backup</w:t>
      </w:r>
      <w:r w:rsidR="00177D10">
        <w:t xml:space="preserve"> </w:t>
      </w:r>
      <w:r w:rsidR="001426B4">
        <w:t>is clean and include environment for rebuilding systems and</w:t>
      </w:r>
      <w:r w:rsidR="00177D10">
        <w:t xml:space="preserve"> recovering the data back into</w:t>
      </w:r>
      <w:r w:rsidR="001426B4">
        <w:t xml:space="preserve"> </w:t>
      </w:r>
      <w:r w:rsidR="00177D10">
        <w:t xml:space="preserve">a </w:t>
      </w:r>
      <w:r w:rsidR="001426B4">
        <w:t xml:space="preserve">production </w:t>
      </w:r>
      <w:r w:rsidR="00177D10">
        <w:t>platform</w:t>
      </w:r>
      <w:r w:rsidR="001426B4">
        <w:t xml:space="preserve">. </w:t>
      </w:r>
      <w:r w:rsidRPr="00B4539F">
        <w:t>The solution can be on premise or cloud based and work independent or in conjunction with existing data protection solutions at SGC. Current SGC environment is primarily on premise with a select number of connections to cloud SAAS offerings (CRM, Antivirus, Service Desk Management).</w:t>
      </w:r>
    </w:p>
    <w:p w:rsidR="001426B4" w:rsidRDefault="00B4539F" w:rsidP="00170CEC">
      <w:pPr>
        <w:tabs>
          <w:tab w:val="left" w:pos="1520"/>
        </w:tabs>
        <w:ind w:left="1440"/>
      </w:pPr>
      <w:r>
        <w:t xml:space="preserve">Current environment: </w:t>
      </w:r>
      <w:r w:rsidR="00170CEC">
        <w:t>99% VMware virtualized environment running Microsoft OS and Linux based appliances</w:t>
      </w:r>
      <w:r w:rsidR="00177D10">
        <w:t xml:space="preserve"> utilizing</w:t>
      </w:r>
      <w:r w:rsidR="00170CEC">
        <w:t xml:space="preserve"> </w:t>
      </w:r>
      <w:r>
        <w:t>Commvault and Dell Data Prote</w:t>
      </w:r>
      <w:r w:rsidR="00170CEC">
        <w:t>ction Power Protect Environment</w:t>
      </w:r>
      <w:r w:rsidR="00170CEC" w:rsidRPr="00170CEC">
        <w:rPr>
          <w:noProof/>
        </w:rPr>
        <w:drawing>
          <wp:inline distT="0" distB="0" distL="0" distR="0" wp14:anchorId="21ECE059" wp14:editId="17677FC4">
            <wp:extent cx="5953125" cy="315719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67057" cy="3164581"/>
                    </a:xfrm>
                    <a:prstGeom prst="rect">
                      <a:avLst/>
                    </a:prstGeom>
                  </pic:spPr>
                </pic:pic>
              </a:graphicData>
            </a:graphic>
          </wp:inline>
        </w:drawing>
      </w:r>
    </w:p>
    <w:p w:rsidR="00170CEC" w:rsidRDefault="00170CEC" w:rsidP="00170CEC">
      <w:pPr>
        <w:tabs>
          <w:tab w:val="left" w:pos="1520"/>
        </w:tabs>
        <w:ind w:left="1440"/>
      </w:pPr>
    </w:p>
    <w:p w:rsidR="002F0BE9" w:rsidRPr="00170CEC" w:rsidRDefault="002F0BE9" w:rsidP="00170CEC">
      <w:pPr>
        <w:tabs>
          <w:tab w:val="left" w:pos="1520"/>
        </w:tabs>
        <w:ind w:left="1440"/>
      </w:pPr>
      <w:r>
        <w:t xml:space="preserve">Hardware target environment must </w:t>
      </w:r>
      <w:r w:rsidR="00B16A43">
        <w:t>be able to support/</w:t>
      </w:r>
      <w:r>
        <w:t>meet minimum specs below.</w:t>
      </w:r>
    </w:p>
    <w:tbl>
      <w:tblPr>
        <w:tblW w:w="7535" w:type="dxa"/>
        <w:jc w:val="center"/>
        <w:tblLook w:val="04A0" w:firstRow="1" w:lastRow="0" w:firstColumn="1" w:lastColumn="0" w:noHBand="0" w:noVBand="1"/>
      </w:tblPr>
      <w:tblGrid>
        <w:gridCol w:w="1076"/>
        <w:gridCol w:w="820"/>
        <w:gridCol w:w="1000"/>
        <w:gridCol w:w="1239"/>
        <w:gridCol w:w="1239"/>
        <w:gridCol w:w="2161"/>
      </w:tblGrid>
      <w:tr w:rsidR="00750D54" w:rsidRPr="00EF4C9E" w:rsidTr="00750D54">
        <w:trPr>
          <w:trHeight w:val="225"/>
          <w:jc w:val="center"/>
        </w:trPr>
        <w:tc>
          <w:tcPr>
            <w:tcW w:w="1076"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750D54" w:rsidRPr="00EF4C9E" w:rsidRDefault="00750D54" w:rsidP="00EF4C9E">
            <w:pPr>
              <w:spacing w:after="0" w:line="240" w:lineRule="auto"/>
              <w:rPr>
                <w:rFonts w:ascii="Verdana" w:eastAsia="Times New Roman" w:hAnsi="Verdana" w:cs="Calibri"/>
                <w:b/>
                <w:bCs/>
                <w:color w:val="FFFFFF"/>
                <w:sz w:val="18"/>
                <w:szCs w:val="18"/>
              </w:rPr>
            </w:pPr>
            <w:r w:rsidRPr="00EF4C9E">
              <w:rPr>
                <w:rFonts w:ascii="Verdana" w:eastAsia="Times New Roman" w:hAnsi="Verdana" w:cs="Calibri"/>
                <w:b/>
                <w:bCs/>
                <w:color w:val="FFFFFF"/>
                <w:sz w:val="18"/>
                <w:szCs w:val="18"/>
              </w:rPr>
              <w:t>Location</w:t>
            </w:r>
          </w:p>
        </w:tc>
        <w:tc>
          <w:tcPr>
            <w:tcW w:w="820" w:type="dxa"/>
            <w:tcBorders>
              <w:top w:val="single" w:sz="4" w:space="0" w:color="auto"/>
              <w:left w:val="nil"/>
              <w:bottom w:val="single" w:sz="4" w:space="0" w:color="auto"/>
              <w:right w:val="single" w:sz="4" w:space="0" w:color="auto"/>
            </w:tcBorders>
            <w:shd w:val="clear" w:color="000000" w:fill="000000"/>
            <w:noWrap/>
            <w:vAlign w:val="bottom"/>
            <w:hideMark/>
          </w:tcPr>
          <w:p w:rsidR="00750D54" w:rsidRPr="00EF4C9E" w:rsidRDefault="00750D54" w:rsidP="00EF4C9E">
            <w:pPr>
              <w:spacing w:after="0" w:line="240" w:lineRule="auto"/>
              <w:rPr>
                <w:rFonts w:ascii="Verdana" w:eastAsia="Times New Roman" w:hAnsi="Verdana" w:cs="Calibri"/>
                <w:b/>
                <w:bCs/>
                <w:color w:val="FFFFFF"/>
                <w:sz w:val="18"/>
                <w:szCs w:val="18"/>
              </w:rPr>
            </w:pPr>
            <w:r w:rsidRPr="00EF4C9E">
              <w:rPr>
                <w:rFonts w:ascii="Verdana" w:eastAsia="Times New Roman" w:hAnsi="Verdana" w:cs="Calibri"/>
                <w:b/>
                <w:bCs/>
                <w:color w:val="FFFFFF"/>
                <w:sz w:val="18"/>
                <w:szCs w:val="18"/>
              </w:rPr>
              <w:t>VM</w:t>
            </w:r>
            <w:r>
              <w:rPr>
                <w:rFonts w:ascii="Verdana" w:eastAsia="Times New Roman" w:hAnsi="Verdana" w:cs="Calibri"/>
                <w:b/>
                <w:bCs/>
                <w:color w:val="FFFFFF"/>
                <w:sz w:val="18"/>
                <w:szCs w:val="18"/>
              </w:rPr>
              <w:t>s</w:t>
            </w:r>
          </w:p>
        </w:tc>
        <w:tc>
          <w:tcPr>
            <w:tcW w:w="1000" w:type="dxa"/>
            <w:tcBorders>
              <w:top w:val="single" w:sz="4" w:space="0" w:color="auto"/>
              <w:left w:val="nil"/>
              <w:bottom w:val="single" w:sz="4" w:space="0" w:color="auto"/>
              <w:right w:val="single" w:sz="4" w:space="0" w:color="auto"/>
            </w:tcBorders>
            <w:shd w:val="clear" w:color="000000" w:fill="000000"/>
            <w:noWrap/>
            <w:vAlign w:val="bottom"/>
            <w:hideMark/>
          </w:tcPr>
          <w:p w:rsidR="00750D54" w:rsidRPr="00EF4C9E" w:rsidRDefault="00750D54" w:rsidP="00EF4C9E">
            <w:pPr>
              <w:spacing w:after="0" w:line="240" w:lineRule="auto"/>
              <w:rPr>
                <w:rFonts w:ascii="Verdana" w:eastAsia="Times New Roman" w:hAnsi="Verdana" w:cs="Calibri"/>
                <w:b/>
                <w:bCs/>
                <w:color w:val="FFFFFF"/>
                <w:sz w:val="18"/>
                <w:szCs w:val="18"/>
              </w:rPr>
            </w:pPr>
            <w:r w:rsidRPr="00EF4C9E">
              <w:rPr>
                <w:rFonts w:ascii="Verdana" w:eastAsia="Times New Roman" w:hAnsi="Verdana" w:cs="Calibri"/>
                <w:b/>
                <w:bCs/>
                <w:color w:val="FFFFFF"/>
                <w:sz w:val="18"/>
                <w:szCs w:val="18"/>
              </w:rPr>
              <w:t>CPUs</w:t>
            </w:r>
          </w:p>
        </w:tc>
        <w:tc>
          <w:tcPr>
            <w:tcW w:w="1239" w:type="dxa"/>
            <w:tcBorders>
              <w:top w:val="single" w:sz="4" w:space="0" w:color="auto"/>
              <w:left w:val="nil"/>
              <w:bottom w:val="single" w:sz="4" w:space="0" w:color="auto"/>
              <w:right w:val="nil"/>
            </w:tcBorders>
            <w:shd w:val="clear" w:color="000000" w:fill="000000"/>
          </w:tcPr>
          <w:p w:rsidR="00750D54" w:rsidRPr="00EF4C9E" w:rsidRDefault="00750D54" w:rsidP="00EF4C9E">
            <w:pPr>
              <w:spacing w:after="0" w:line="240" w:lineRule="auto"/>
              <w:rPr>
                <w:rFonts w:ascii="Verdana" w:eastAsia="Times New Roman" w:hAnsi="Verdana" w:cs="Calibri"/>
                <w:b/>
                <w:bCs/>
                <w:color w:val="FFFFFF"/>
                <w:sz w:val="18"/>
                <w:szCs w:val="18"/>
              </w:rPr>
            </w:pPr>
            <w:r>
              <w:rPr>
                <w:rFonts w:ascii="Verdana" w:eastAsia="Times New Roman" w:hAnsi="Verdana" w:cs="Calibri"/>
                <w:b/>
                <w:bCs/>
                <w:color w:val="FFFFFF"/>
                <w:sz w:val="18"/>
                <w:szCs w:val="18"/>
              </w:rPr>
              <w:t>Cores</w:t>
            </w:r>
          </w:p>
        </w:tc>
        <w:tc>
          <w:tcPr>
            <w:tcW w:w="1239" w:type="dxa"/>
            <w:tcBorders>
              <w:top w:val="single" w:sz="4" w:space="0" w:color="auto"/>
              <w:left w:val="nil"/>
              <w:bottom w:val="single" w:sz="4" w:space="0" w:color="auto"/>
              <w:right w:val="single" w:sz="4" w:space="0" w:color="auto"/>
            </w:tcBorders>
            <w:shd w:val="clear" w:color="000000" w:fill="000000"/>
            <w:noWrap/>
            <w:vAlign w:val="bottom"/>
            <w:hideMark/>
          </w:tcPr>
          <w:p w:rsidR="00750D54" w:rsidRPr="00EF4C9E" w:rsidRDefault="00750D54" w:rsidP="00EF4C9E">
            <w:pPr>
              <w:spacing w:after="0" w:line="240" w:lineRule="auto"/>
              <w:rPr>
                <w:rFonts w:ascii="Verdana" w:eastAsia="Times New Roman" w:hAnsi="Verdana" w:cs="Calibri"/>
                <w:b/>
                <w:bCs/>
                <w:color w:val="FFFFFF"/>
                <w:sz w:val="18"/>
                <w:szCs w:val="18"/>
              </w:rPr>
            </w:pPr>
            <w:r w:rsidRPr="00EF4C9E">
              <w:rPr>
                <w:rFonts w:ascii="Verdana" w:eastAsia="Times New Roman" w:hAnsi="Verdana" w:cs="Calibri"/>
                <w:b/>
                <w:bCs/>
                <w:color w:val="FFFFFF"/>
                <w:sz w:val="18"/>
                <w:szCs w:val="18"/>
              </w:rPr>
              <w:t>Memory</w:t>
            </w:r>
          </w:p>
        </w:tc>
        <w:tc>
          <w:tcPr>
            <w:tcW w:w="2161" w:type="dxa"/>
            <w:tcBorders>
              <w:top w:val="single" w:sz="4" w:space="0" w:color="auto"/>
              <w:left w:val="nil"/>
              <w:bottom w:val="single" w:sz="4" w:space="0" w:color="auto"/>
              <w:right w:val="single" w:sz="4" w:space="0" w:color="auto"/>
            </w:tcBorders>
            <w:shd w:val="clear" w:color="000000" w:fill="000000"/>
            <w:noWrap/>
            <w:vAlign w:val="bottom"/>
            <w:hideMark/>
          </w:tcPr>
          <w:p w:rsidR="00750D54" w:rsidRPr="00EF4C9E" w:rsidRDefault="002D378C" w:rsidP="00EF4C9E">
            <w:pPr>
              <w:spacing w:after="0" w:line="240" w:lineRule="auto"/>
              <w:rPr>
                <w:rFonts w:ascii="Verdana" w:eastAsia="Times New Roman" w:hAnsi="Verdana" w:cs="Calibri"/>
                <w:b/>
                <w:bCs/>
                <w:color w:val="FFFFFF"/>
                <w:sz w:val="18"/>
                <w:szCs w:val="18"/>
              </w:rPr>
            </w:pPr>
            <w:r>
              <w:rPr>
                <w:rFonts w:ascii="Verdana" w:eastAsia="Times New Roman" w:hAnsi="Verdana" w:cs="Calibri"/>
                <w:b/>
                <w:bCs/>
                <w:color w:val="FFFFFF"/>
                <w:sz w:val="18"/>
                <w:szCs w:val="18"/>
              </w:rPr>
              <w:t>Raw/Useable</w:t>
            </w:r>
          </w:p>
        </w:tc>
      </w:tr>
      <w:tr w:rsidR="00750D54" w:rsidRPr="00EF4C9E" w:rsidTr="00750D54">
        <w:trPr>
          <w:trHeight w:val="225"/>
          <w:jc w:val="center"/>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750D54" w:rsidRPr="00EF4C9E" w:rsidRDefault="00750D54" w:rsidP="00EF4C9E">
            <w:pPr>
              <w:spacing w:after="0" w:line="240" w:lineRule="auto"/>
              <w:rPr>
                <w:rFonts w:ascii="Verdana" w:eastAsia="Times New Roman" w:hAnsi="Verdana" w:cs="Calibri"/>
                <w:color w:val="000000"/>
                <w:sz w:val="18"/>
                <w:szCs w:val="18"/>
              </w:rPr>
            </w:pPr>
            <w:r w:rsidRPr="00EF4C9E">
              <w:rPr>
                <w:rFonts w:ascii="Verdana" w:eastAsia="Times New Roman" w:hAnsi="Verdana" w:cs="Calibri"/>
                <w:color w:val="000000"/>
                <w:sz w:val="18"/>
                <w:szCs w:val="18"/>
              </w:rPr>
              <w:t>SNC/SOB</w:t>
            </w:r>
          </w:p>
        </w:tc>
        <w:tc>
          <w:tcPr>
            <w:tcW w:w="820" w:type="dxa"/>
            <w:tcBorders>
              <w:top w:val="nil"/>
              <w:left w:val="nil"/>
              <w:bottom w:val="single" w:sz="4" w:space="0" w:color="auto"/>
              <w:right w:val="single" w:sz="4" w:space="0" w:color="auto"/>
            </w:tcBorders>
            <w:shd w:val="clear" w:color="auto" w:fill="auto"/>
            <w:noWrap/>
            <w:vAlign w:val="bottom"/>
            <w:hideMark/>
          </w:tcPr>
          <w:p w:rsidR="00750D54" w:rsidRPr="00EF4C9E" w:rsidRDefault="00750D54" w:rsidP="00EF4C9E">
            <w:pPr>
              <w:spacing w:after="0" w:line="240" w:lineRule="auto"/>
              <w:rPr>
                <w:rFonts w:ascii="Verdana" w:eastAsia="Times New Roman" w:hAnsi="Verdana" w:cs="Calibri"/>
                <w:color w:val="000000"/>
                <w:sz w:val="18"/>
                <w:szCs w:val="18"/>
              </w:rPr>
            </w:pPr>
            <w:r w:rsidRPr="00EF4C9E">
              <w:rPr>
                <w:rFonts w:ascii="Verdana" w:eastAsia="Times New Roman" w:hAnsi="Verdana" w:cs="Calibri"/>
                <w:color w:val="000000"/>
                <w:sz w:val="18"/>
                <w:szCs w:val="18"/>
              </w:rPr>
              <w:t>195</w:t>
            </w:r>
          </w:p>
        </w:tc>
        <w:tc>
          <w:tcPr>
            <w:tcW w:w="1000" w:type="dxa"/>
            <w:tcBorders>
              <w:top w:val="nil"/>
              <w:left w:val="nil"/>
              <w:bottom w:val="single" w:sz="4" w:space="0" w:color="auto"/>
              <w:right w:val="single" w:sz="4" w:space="0" w:color="auto"/>
            </w:tcBorders>
            <w:shd w:val="clear" w:color="auto" w:fill="auto"/>
            <w:noWrap/>
            <w:vAlign w:val="bottom"/>
          </w:tcPr>
          <w:p w:rsidR="00750D54" w:rsidRPr="00EF4C9E" w:rsidRDefault="00750D54" w:rsidP="00EF4C9E">
            <w:pPr>
              <w:spacing w:after="0" w:line="240" w:lineRule="auto"/>
              <w:jc w:val="right"/>
              <w:rPr>
                <w:rFonts w:ascii="Verdana" w:eastAsia="Times New Roman" w:hAnsi="Verdana" w:cs="Calibri"/>
                <w:color w:val="000000"/>
                <w:sz w:val="18"/>
                <w:szCs w:val="18"/>
              </w:rPr>
            </w:pPr>
            <w:r>
              <w:rPr>
                <w:rFonts w:ascii="Verdana" w:eastAsia="Times New Roman" w:hAnsi="Verdana" w:cs="Calibri"/>
                <w:color w:val="000000"/>
                <w:sz w:val="18"/>
                <w:szCs w:val="18"/>
              </w:rPr>
              <w:t>18</w:t>
            </w:r>
          </w:p>
        </w:tc>
        <w:tc>
          <w:tcPr>
            <w:tcW w:w="1239" w:type="dxa"/>
            <w:tcBorders>
              <w:top w:val="single" w:sz="4" w:space="0" w:color="auto"/>
              <w:left w:val="nil"/>
              <w:bottom w:val="single" w:sz="4" w:space="0" w:color="auto"/>
              <w:right w:val="single" w:sz="4" w:space="0" w:color="auto"/>
            </w:tcBorders>
          </w:tcPr>
          <w:p w:rsidR="00750D54" w:rsidRPr="00EF4C9E" w:rsidRDefault="00750D54" w:rsidP="00EF4C9E">
            <w:pPr>
              <w:spacing w:after="0" w:line="240" w:lineRule="auto"/>
              <w:jc w:val="right"/>
              <w:rPr>
                <w:rFonts w:ascii="Verdana" w:eastAsia="Times New Roman" w:hAnsi="Verdana" w:cs="Calibri"/>
                <w:color w:val="000000"/>
                <w:sz w:val="18"/>
                <w:szCs w:val="18"/>
              </w:rPr>
            </w:pPr>
            <w:r>
              <w:rPr>
                <w:rFonts w:ascii="Verdana" w:eastAsia="Times New Roman" w:hAnsi="Verdana" w:cs="Calibri"/>
                <w:color w:val="000000"/>
                <w:sz w:val="18"/>
                <w:szCs w:val="18"/>
              </w:rPr>
              <w:t>216</w:t>
            </w:r>
          </w:p>
        </w:tc>
        <w:tc>
          <w:tcPr>
            <w:tcW w:w="1239" w:type="dxa"/>
            <w:tcBorders>
              <w:top w:val="nil"/>
              <w:left w:val="single" w:sz="4" w:space="0" w:color="auto"/>
              <w:bottom w:val="single" w:sz="4" w:space="0" w:color="auto"/>
              <w:right w:val="single" w:sz="4" w:space="0" w:color="auto"/>
            </w:tcBorders>
            <w:shd w:val="clear" w:color="auto" w:fill="auto"/>
            <w:noWrap/>
            <w:vAlign w:val="bottom"/>
          </w:tcPr>
          <w:p w:rsidR="00750D54" w:rsidRPr="00EF4C9E" w:rsidRDefault="00750D54" w:rsidP="00EF4C9E">
            <w:pPr>
              <w:spacing w:after="0" w:line="240" w:lineRule="auto"/>
              <w:jc w:val="right"/>
              <w:rPr>
                <w:rFonts w:ascii="Verdana" w:eastAsia="Times New Roman" w:hAnsi="Verdana" w:cs="Calibri"/>
                <w:color w:val="000000"/>
                <w:sz w:val="18"/>
                <w:szCs w:val="18"/>
              </w:rPr>
            </w:pPr>
            <w:r>
              <w:rPr>
                <w:rFonts w:ascii="Verdana" w:eastAsia="Times New Roman" w:hAnsi="Verdana" w:cs="Calibri"/>
                <w:color w:val="000000"/>
                <w:sz w:val="18"/>
                <w:szCs w:val="18"/>
              </w:rPr>
              <w:t>3.5 TB</w:t>
            </w:r>
          </w:p>
        </w:tc>
        <w:tc>
          <w:tcPr>
            <w:tcW w:w="2161" w:type="dxa"/>
            <w:tcBorders>
              <w:top w:val="nil"/>
              <w:left w:val="nil"/>
              <w:bottom w:val="single" w:sz="4" w:space="0" w:color="auto"/>
              <w:right w:val="single" w:sz="4" w:space="0" w:color="auto"/>
            </w:tcBorders>
            <w:shd w:val="clear" w:color="auto" w:fill="auto"/>
            <w:noWrap/>
            <w:vAlign w:val="bottom"/>
            <w:hideMark/>
          </w:tcPr>
          <w:p w:rsidR="00750D54" w:rsidRPr="00EF4C9E" w:rsidRDefault="00750D54" w:rsidP="00B16A43">
            <w:pPr>
              <w:spacing w:after="0" w:line="240" w:lineRule="auto"/>
              <w:rPr>
                <w:rFonts w:ascii="Verdana" w:eastAsia="Times New Roman" w:hAnsi="Verdana" w:cs="Calibri"/>
                <w:color w:val="000000"/>
                <w:sz w:val="18"/>
                <w:szCs w:val="18"/>
              </w:rPr>
            </w:pPr>
            <w:r>
              <w:rPr>
                <w:rFonts w:ascii="Verdana" w:eastAsia="Times New Roman" w:hAnsi="Verdana" w:cs="Calibri"/>
                <w:color w:val="000000"/>
                <w:sz w:val="18"/>
                <w:szCs w:val="18"/>
              </w:rPr>
              <w:t>180</w:t>
            </w:r>
            <w:r w:rsidR="002D378C">
              <w:rPr>
                <w:rFonts w:ascii="Verdana" w:eastAsia="Times New Roman" w:hAnsi="Verdana" w:cs="Calibri"/>
                <w:color w:val="000000"/>
                <w:sz w:val="18"/>
                <w:szCs w:val="18"/>
              </w:rPr>
              <w:t xml:space="preserve"> TB</w:t>
            </w:r>
          </w:p>
        </w:tc>
      </w:tr>
      <w:tr w:rsidR="00750D54" w:rsidRPr="00EF4C9E" w:rsidTr="00750D54">
        <w:trPr>
          <w:trHeight w:val="225"/>
          <w:jc w:val="center"/>
        </w:trPr>
        <w:tc>
          <w:tcPr>
            <w:tcW w:w="1076" w:type="dxa"/>
            <w:tcBorders>
              <w:top w:val="nil"/>
              <w:left w:val="single" w:sz="4" w:space="0" w:color="auto"/>
              <w:bottom w:val="single" w:sz="4" w:space="0" w:color="auto"/>
              <w:right w:val="single" w:sz="4" w:space="0" w:color="auto"/>
            </w:tcBorders>
            <w:shd w:val="clear" w:color="auto" w:fill="auto"/>
            <w:noWrap/>
            <w:vAlign w:val="bottom"/>
          </w:tcPr>
          <w:p w:rsidR="00750D54" w:rsidRPr="00EF4C9E" w:rsidRDefault="00750D54" w:rsidP="00EF4C9E">
            <w:pPr>
              <w:spacing w:after="0" w:line="240" w:lineRule="auto"/>
              <w:rPr>
                <w:rFonts w:ascii="Verdana" w:eastAsia="Times New Roman" w:hAnsi="Verdana" w:cs="Calibri"/>
                <w:color w:val="000000"/>
                <w:sz w:val="18"/>
                <w:szCs w:val="18"/>
              </w:rPr>
            </w:pPr>
            <w:r>
              <w:rPr>
                <w:rFonts w:ascii="Verdana" w:eastAsia="Times New Roman" w:hAnsi="Verdana" w:cs="Calibri"/>
                <w:color w:val="000000"/>
                <w:sz w:val="18"/>
                <w:szCs w:val="18"/>
              </w:rPr>
              <w:t>SBC</w:t>
            </w:r>
          </w:p>
        </w:tc>
        <w:tc>
          <w:tcPr>
            <w:tcW w:w="820" w:type="dxa"/>
            <w:tcBorders>
              <w:top w:val="nil"/>
              <w:left w:val="nil"/>
              <w:bottom w:val="single" w:sz="4" w:space="0" w:color="auto"/>
              <w:right w:val="single" w:sz="4" w:space="0" w:color="auto"/>
            </w:tcBorders>
            <w:shd w:val="clear" w:color="auto" w:fill="auto"/>
            <w:noWrap/>
            <w:vAlign w:val="bottom"/>
          </w:tcPr>
          <w:p w:rsidR="00750D54" w:rsidRPr="00EF4C9E" w:rsidRDefault="00750D54" w:rsidP="00EF4C9E">
            <w:pPr>
              <w:spacing w:after="0" w:line="240" w:lineRule="auto"/>
              <w:rPr>
                <w:rFonts w:ascii="Verdana" w:eastAsia="Times New Roman" w:hAnsi="Verdana" w:cs="Calibri"/>
                <w:color w:val="000000"/>
                <w:sz w:val="18"/>
                <w:szCs w:val="18"/>
              </w:rPr>
            </w:pPr>
            <w:r>
              <w:rPr>
                <w:rFonts w:ascii="Verdana" w:eastAsia="Times New Roman" w:hAnsi="Verdana" w:cs="Calibri"/>
                <w:color w:val="000000"/>
                <w:sz w:val="18"/>
                <w:szCs w:val="18"/>
              </w:rPr>
              <w:t>32</w:t>
            </w:r>
          </w:p>
        </w:tc>
        <w:tc>
          <w:tcPr>
            <w:tcW w:w="1000" w:type="dxa"/>
            <w:tcBorders>
              <w:top w:val="nil"/>
              <w:left w:val="nil"/>
              <w:bottom w:val="single" w:sz="4" w:space="0" w:color="auto"/>
              <w:right w:val="single" w:sz="4" w:space="0" w:color="auto"/>
            </w:tcBorders>
            <w:shd w:val="clear" w:color="auto" w:fill="auto"/>
            <w:noWrap/>
            <w:vAlign w:val="bottom"/>
          </w:tcPr>
          <w:p w:rsidR="00750D54" w:rsidRPr="00EF4C9E" w:rsidRDefault="002D378C" w:rsidP="00EF4C9E">
            <w:pPr>
              <w:spacing w:after="0" w:line="240" w:lineRule="auto"/>
              <w:jc w:val="right"/>
              <w:rPr>
                <w:rFonts w:ascii="Verdana" w:eastAsia="Times New Roman" w:hAnsi="Verdana" w:cs="Calibri"/>
                <w:color w:val="000000"/>
                <w:sz w:val="18"/>
                <w:szCs w:val="18"/>
              </w:rPr>
            </w:pPr>
            <w:r>
              <w:rPr>
                <w:rFonts w:ascii="Verdana" w:eastAsia="Times New Roman" w:hAnsi="Verdana" w:cs="Calibri"/>
                <w:color w:val="000000"/>
                <w:sz w:val="18"/>
                <w:szCs w:val="18"/>
              </w:rPr>
              <w:t>6</w:t>
            </w:r>
          </w:p>
        </w:tc>
        <w:tc>
          <w:tcPr>
            <w:tcW w:w="1239" w:type="dxa"/>
            <w:tcBorders>
              <w:top w:val="single" w:sz="4" w:space="0" w:color="auto"/>
              <w:left w:val="nil"/>
              <w:bottom w:val="single" w:sz="4" w:space="0" w:color="auto"/>
              <w:right w:val="single" w:sz="4" w:space="0" w:color="auto"/>
            </w:tcBorders>
          </w:tcPr>
          <w:p w:rsidR="00750D54" w:rsidRPr="00EF4C9E" w:rsidRDefault="002D378C" w:rsidP="00EF4C9E">
            <w:pPr>
              <w:spacing w:after="0" w:line="240" w:lineRule="auto"/>
              <w:jc w:val="right"/>
              <w:rPr>
                <w:rFonts w:ascii="Verdana" w:eastAsia="Times New Roman" w:hAnsi="Verdana" w:cs="Calibri"/>
                <w:color w:val="000000"/>
                <w:sz w:val="18"/>
                <w:szCs w:val="18"/>
              </w:rPr>
            </w:pPr>
            <w:r>
              <w:rPr>
                <w:rFonts w:ascii="Verdana" w:eastAsia="Times New Roman" w:hAnsi="Verdana" w:cs="Calibri"/>
                <w:color w:val="000000"/>
                <w:sz w:val="18"/>
                <w:szCs w:val="18"/>
              </w:rPr>
              <w:t>72</w:t>
            </w:r>
          </w:p>
        </w:tc>
        <w:tc>
          <w:tcPr>
            <w:tcW w:w="1239" w:type="dxa"/>
            <w:tcBorders>
              <w:top w:val="nil"/>
              <w:left w:val="single" w:sz="4" w:space="0" w:color="auto"/>
              <w:bottom w:val="single" w:sz="4" w:space="0" w:color="auto"/>
              <w:right w:val="single" w:sz="4" w:space="0" w:color="auto"/>
            </w:tcBorders>
            <w:shd w:val="clear" w:color="auto" w:fill="auto"/>
            <w:noWrap/>
            <w:vAlign w:val="bottom"/>
          </w:tcPr>
          <w:p w:rsidR="00750D54" w:rsidRPr="00EF4C9E" w:rsidRDefault="002D378C" w:rsidP="00EF4C9E">
            <w:pPr>
              <w:spacing w:after="0" w:line="240" w:lineRule="auto"/>
              <w:jc w:val="right"/>
              <w:rPr>
                <w:rFonts w:ascii="Verdana" w:eastAsia="Times New Roman" w:hAnsi="Verdana" w:cs="Calibri"/>
                <w:color w:val="000000"/>
                <w:sz w:val="18"/>
                <w:szCs w:val="18"/>
              </w:rPr>
            </w:pPr>
            <w:r>
              <w:rPr>
                <w:rFonts w:ascii="Verdana" w:eastAsia="Times New Roman" w:hAnsi="Verdana" w:cs="Calibri"/>
                <w:color w:val="000000"/>
                <w:sz w:val="18"/>
                <w:szCs w:val="18"/>
              </w:rPr>
              <w:t>768 GB</w:t>
            </w:r>
          </w:p>
        </w:tc>
        <w:tc>
          <w:tcPr>
            <w:tcW w:w="2161" w:type="dxa"/>
            <w:tcBorders>
              <w:top w:val="nil"/>
              <w:left w:val="nil"/>
              <w:bottom w:val="single" w:sz="4" w:space="0" w:color="auto"/>
              <w:right w:val="single" w:sz="4" w:space="0" w:color="auto"/>
            </w:tcBorders>
            <w:shd w:val="clear" w:color="auto" w:fill="auto"/>
            <w:noWrap/>
            <w:vAlign w:val="bottom"/>
          </w:tcPr>
          <w:p w:rsidR="00750D54" w:rsidRDefault="00750D54" w:rsidP="00B16A43">
            <w:pPr>
              <w:spacing w:after="0" w:line="240" w:lineRule="auto"/>
              <w:rPr>
                <w:rFonts w:ascii="Verdana" w:eastAsia="Times New Roman" w:hAnsi="Verdana" w:cs="Calibri"/>
                <w:color w:val="000000"/>
                <w:sz w:val="18"/>
                <w:szCs w:val="18"/>
              </w:rPr>
            </w:pPr>
            <w:r>
              <w:rPr>
                <w:rFonts w:ascii="Verdana" w:eastAsia="Times New Roman" w:hAnsi="Verdana" w:cs="Calibri"/>
                <w:color w:val="000000"/>
                <w:sz w:val="18"/>
                <w:szCs w:val="18"/>
              </w:rPr>
              <w:t>8</w:t>
            </w:r>
            <w:r w:rsidR="002D378C">
              <w:rPr>
                <w:rFonts w:ascii="Verdana" w:eastAsia="Times New Roman" w:hAnsi="Verdana" w:cs="Calibri"/>
                <w:color w:val="000000"/>
                <w:sz w:val="18"/>
                <w:szCs w:val="18"/>
              </w:rPr>
              <w:t xml:space="preserve"> TB</w:t>
            </w:r>
          </w:p>
        </w:tc>
      </w:tr>
      <w:tr w:rsidR="00750D54" w:rsidRPr="00EF4C9E" w:rsidTr="00750D54">
        <w:trPr>
          <w:trHeight w:val="225"/>
          <w:jc w:val="center"/>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750D54" w:rsidRPr="00EF4C9E" w:rsidRDefault="00750D54" w:rsidP="00EF4C9E">
            <w:pPr>
              <w:spacing w:after="0" w:line="240" w:lineRule="auto"/>
              <w:rPr>
                <w:rFonts w:ascii="Verdana" w:eastAsia="Times New Roman" w:hAnsi="Verdana" w:cs="Calibri"/>
                <w:color w:val="000000"/>
                <w:sz w:val="18"/>
                <w:szCs w:val="18"/>
              </w:rPr>
            </w:pPr>
            <w:r w:rsidRPr="00EF4C9E">
              <w:rPr>
                <w:rFonts w:ascii="Verdana" w:eastAsia="Times New Roman" w:hAnsi="Verdana" w:cs="Calibri"/>
                <w:color w:val="000000"/>
                <w:sz w:val="18"/>
                <w:szCs w:val="18"/>
              </w:rPr>
              <w:t>SAC</w:t>
            </w:r>
          </w:p>
        </w:tc>
        <w:tc>
          <w:tcPr>
            <w:tcW w:w="820" w:type="dxa"/>
            <w:tcBorders>
              <w:top w:val="nil"/>
              <w:left w:val="nil"/>
              <w:bottom w:val="single" w:sz="4" w:space="0" w:color="auto"/>
              <w:right w:val="single" w:sz="4" w:space="0" w:color="auto"/>
            </w:tcBorders>
            <w:shd w:val="clear" w:color="auto" w:fill="auto"/>
            <w:noWrap/>
            <w:vAlign w:val="bottom"/>
            <w:hideMark/>
          </w:tcPr>
          <w:p w:rsidR="00750D54" w:rsidRPr="00EF4C9E" w:rsidRDefault="00750D54" w:rsidP="00EF4C9E">
            <w:pPr>
              <w:spacing w:after="0" w:line="240" w:lineRule="auto"/>
              <w:rPr>
                <w:rFonts w:ascii="Verdana" w:eastAsia="Times New Roman" w:hAnsi="Verdana" w:cs="Calibri"/>
                <w:color w:val="000000"/>
                <w:sz w:val="18"/>
                <w:szCs w:val="18"/>
              </w:rPr>
            </w:pPr>
            <w:r w:rsidRPr="00EF4C9E">
              <w:rPr>
                <w:rFonts w:ascii="Verdana" w:eastAsia="Times New Roman" w:hAnsi="Verdana" w:cs="Calibri"/>
                <w:color w:val="000000"/>
                <w:sz w:val="18"/>
                <w:szCs w:val="18"/>
              </w:rPr>
              <w:t>42</w:t>
            </w:r>
          </w:p>
        </w:tc>
        <w:tc>
          <w:tcPr>
            <w:tcW w:w="1000" w:type="dxa"/>
            <w:tcBorders>
              <w:top w:val="nil"/>
              <w:left w:val="nil"/>
              <w:bottom w:val="single" w:sz="4" w:space="0" w:color="auto"/>
              <w:right w:val="single" w:sz="4" w:space="0" w:color="auto"/>
            </w:tcBorders>
            <w:shd w:val="clear" w:color="auto" w:fill="auto"/>
            <w:noWrap/>
            <w:vAlign w:val="bottom"/>
          </w:tcPr>
          <w:p w:rsidR="00750D54" w:rsidRPr="00EF4C9E" w:rsidRDefault="002D378C" w:rsidP="00EF4C9E">
            <w:pPr>
              <w:spacing w:after="0" w:line="240" w:lineRule="auto"/>
              <w:jc w:val="right"/>
              <w:rPr>
                <w:rFonts w:ascii="Verdana" w:eastAsia="Times New Roman" w:hAnsi="Verdana" w:cs="Calibri"/>
                <w:color w:val="000000"/>
                <w:sz w:val="18"/>
                <w:szCs w:val="18"/>
              </w:rPr>
            </w:pPr>
            <w:r>
              <w:rPr>
                <w:rFonts w:ascii="Verdana" w:eastAsia="Times New Roman" w:hAnsi="Verdana" w:cs="Calibri"/>
                <w:color w:val="000000"/>
                <w:sz w:val="18"/>
                <w:szCs w:val="18"/>
              </w:rPr>
              <w:t>6</w:t>
            </w:r>
          </w:p>
        </w:tc>
        <w:tc>
          <w:tcPr>
            <w:tcW w:w="1239" w:type="dxa"/>
            <w:tcBorders>
              <w:top w:val="single" w:sz="4" w:space="0" w:color="auto"/>
              <w:left w:val="nil"/>
              <w:bottom w:val="single" w:sz="4" w:space="0" w:color="auto"/>
              <w:right w:val="single" w:sz="4" w:space="0" w:color="auto"/>
            </w:tcBorders>
          </w:tcPr>
          <w:p w:rsidR="00750D54" w:rsidRPr="00EF4C9E" w:rsidRDefault="002D378C" w:rsidP="00EF4C9E">
            <w:pPr>
              <w:spacing w:after="0" w:line="240" w:lineRule="auto"/>
              <w:jc w:val="right"/>
              <w:rPr>
                <w:rFonts w:ascii="Verdana" w:eastAsia="Times New Roman" w:hAnsi="Verdana" w:cs="Calibri"/>
                <w:color w:val="000000"/>
                <w:sz w:val="18"/>
                <w:szCs w:val="18"/>
              </w:rPr>
            </w:pPr>
            <w:r>
              <w:rPr>
                <w:rFonts w:ascii="Verdana" w:eastAsia="Times New Roman" w:hAnsi="Verdana" w:cs="Calibri"/>
                <w:color w:val="000000"/>
                <w:sz w:val="18"/>
                <w:szCs w:val="18"/>
              </w:rPr>
              <w:t>72</w:t>
            </w:r>
          </w:p>
        </w:tc>
        <w:tc>
          <w:tcPr>
            <w:tcW w:w="1239" w:type="dxa"/>
            <w:tcBorders>
              <w:top w:val="nil"/>
              <w:left w:val="single" w:sz="4" w:space="0" w:color="auto"/>
              <w:bottom w:val="single" w:sz="4" w:space="0" w:color="auto"/>
              <w:right w:val="single" w:sz="4" w:space="0" w:color="auto"/>
            </w:tcBorders>
            <w:shd w:val="clear" w:color="auto" w:fill="auto"/>
            <w:noWrap/>
            <w:vAlign w:val="bottom"/>
          </w:tcPr>
          <w:p w:rsidR="00750D54" w:rsidRPr="00EF4C9E" w:rsidRDefault="002D378C" w:rsidP="00EF4C9E">
            <w:pPr>
              <w:spacing w:after="0" w:line="240" w:lineRule="auto"/>
              <w:jc w:val="right"/>
              <w:rPr>
                <w:rFonts w:ascii="Verdana" w:eastAsia="Times New Roman" w:hAnsi="Verdana" w:cs="Calibri"/>
                <w:color w:val="000000"/>
                <w:sz w:val="18"/>
                <w:szCs w:val="18"/>
              </w:rPr>
            </w:pPr>
            <w:r>
              <w:rPr>
                <w:rFonts w:ascii="Verdana" w:eastAsia="Times New Roman" w:hAnsi="Verdana" w:cs="Calibri"/>
                <w:color w:val="000000"/>
                <w:sz w:val="18"/>
                <w:szCs w:val="18"/>
              </w:rPr>
              <w:t>768 GB</w:t>
            </w:r>
          </w:p>
        </w:tc>
        <w:tc>
          <w:tcPr>
            <w:tcW w:w="2161" w:type="dxa"/>
            <w:tcBorders>
              <w:top w:val="nil"/>
              <w:left w:val="nil"/>
              <w:bottom w:val="single" w:sz="4" w:space="0" w:color="auto"/>
              <w:right w:val="single" w:sz="4" w:space="0" w:color="auto"/>
            </w:tcBorders>
            <w:shd w:val="clear" w:color="auto" w:fill="auto"/>
            <w:noWrap/>
            <w:vAlign w:val="bottom"/>
            <w:hideMark/>
          </w:tcPr>
          <w:p w:rsidR="00750D54" w:rsidRPr="00EF4C9E" w:rsidRDefault="00750D54" w:rsidP="00B16A43">
            <w:pPr>
              <w:spacing w:after="0" w:line="240" w:lineRule="auto"/>
              <w:rPr>
                <w:rFonts w:ascii="Verdana" w:eastAsia="Times New Roman" w:hAnsi="Verdana" w:cs="Calibri"/>
                <w:color w:val="000000"/>
                <w:sz w:val="18"/>
                <w:szCs w:val="18"/>
              </w:rPr>
            </w:pPr>
            <w:r>
              <w:rPr>
                <w:rFonts w:ascii="Verdana" w:eastAsia="Times New Roman" w:hAnsi="Verdana" w:cs="Calibri"/>
                <w:color w:val="000000"/>
                <w:sz w:val="18"/>
                <w:szCs w:val="18"/>
              </w:rPr>
              <w:t>24</w:t>
            </w:r>
            <w:r w:rsidR="002D378C">
              <w:rPr>
                <w:rFonts w:ascii="Verdana" w:eastAsia="Times New Roman" w:hAnsi="Verdana" w:cs="Calibri"/>
                <w:color w:val="000000"/>
                <w:sz w:val="18"/>
                <w:szCs w:val="18"/>
              </w:rPr>
              <w:t xml:space="preserve"> TB</w:t>
            </w:r>
          </w:p>
        </w:tc>
      </w:tr>
    </w:tbl>
    <w:p w:rsidR="00170CEC" w:rsidRDefault="00170CEC" w:rsidP="00EF4C9E">
      <w:pPr>
        <w:tabs>
          <w:tab w:val="left" w:pos="1520"/>
        </w:tabs>
        <w:rPr>
          <w:b/>
        </w:rPr>
      </w:pPr>
    </w:p>
    <w:p w:rsidR="00B16A43" w:rsidRDefault="00B16A43" w:rsidP="00EF4C9E">
      <w:pPr>
        <w:tabs>
          <w:tab w:val="left" w:pos="1520"/>
        </w:tabs>
        <w:rPr>
          <w:b/>
        </w:rPr>
      </w:pPr>
    </w:p>
    <w:p w:rsidR="00B16A43" w:rsidRDefault="00B16A43" w:rsidP="00EF4C9E">
      <w:pPr>
        <w:tabs>
          <w:tab w:val="left" w:pos="1520"/>
        </w:tabs>
        <w:rPr>
          <w:b/>
        </w:rPr>
      </w:pPr>
    </w:p>
    <w:p w:rsidR="00B16A43" w:rsidRDefault="00B16A43" w:rsidP="00EF4C9E">
      <w:pPr>
        <w:tabs>
          <w:tab w:val="left" w:pos="1520"/>
        </w:tabs>
        <w:rPr>
          <w:b/>
        </w:rPr>
      </w:pPr>
    </w:p>
    <w:p w:rsidR="00B16A43" w:rsidRDefault="00B16A43" w:rsidP="00EF4C9E">
      <w:pPr>
        <w:tabs>
          <w:tab w:val="left" w:pos="1520"/>
        </w:tabs>
        <w:rPr>
          <w:b/>
        </w:rPr>
      </w:pPr>
      <w:r>
        <w:rPr>
          <w:b/>
        </w:rPr>
        <w:t>Additional Information of current SGC Backup sizing – deduped/compressed.</w:t>
      </w:r>
    </w:p>
    <w:tbl>
      <w:tblPr>
        <w:tblW w:w="5000" w:type="dxa"/>
        <w:tblCellMar>
          <w:left w:w="0" w:type="dxa"/>
          <w:right w:w="0" w:type="dxa"/>
        </w:tblCellMar>
        <w:tblLook w:val="04A0" w:firstRow="1" w:lastRow="0" w:firstColumn="1" w:lastColumn="0" w:noHBand="0" w:noVBand="1"/>
      </w:tblPr>
      <w:tblGrid>
        <w:gridCol w:w="3060"/>
        <w:gridCol w:w="1940"/>
      </w:tblGrid>
      <w:tr w:rsidR="00B16A43" w:rsidTr="00B16A43">
        <w:trPr>
          <w:trHeight w:val="960"/>
        </w:trPr>
        <w:tc>
          <w:tcPr>
            <w:tcW w:w="3060" w:type="dxa"/>
            <w:tcBorders>
              <w:top w:val="single" w:sz="8" w:space="0" w:color="A3A3A3"/>
              <w:left w:val="single" w:sz="8" w:space="0" w:color="A3A3A3"/>
              <w:bottom w:val="single" w:sz="8" w:space="0" w:color="A3A3A3"/>
              <w:right w:val="single" w:sz="8" w:space="0" w:color="A3A3A3"/>
            </w:tcBorders>
            <w:tcMar>
              <w:top w:w="0" w:type="dxa"/>
              <w:left w:w="108" w:type="dxa"/>
              <w:bottom w:w="0" w:type="dxa"/>
              <w:right w:w="108" w:type="dxa"/>
            </w:tcMar>
            <w:vAlign w:val="center"/>
            <w:hideMark/>
          </w:tcPr>
          <w:p w:rsidR="00B16A43" w:rsidRDefault="00B16A43">
            <w:pPr>
              <w:rPr>
                <w:rFonts w:ascii="Garamond" w:hAnsi="Garamond"/>
                <w:b/>
                <w:bCs/>
                <w:color w:val="000000"/>
                <w:sz w:val="24"/>
                <w:szCs w:val="24"/>
              </w:rPr>
            </w:pPr>
            <w:r>
              <w:rPr>
                <w:rFonts w:ascii="Garamond" w:hAnsi="Garamond"/>
                <w:b/>
                <w:bCs/>
                <w:color w:val="000000"/>
                <w:sz w:val="24"/>
                <w:szCs w:val="24"/>
              </w:rPr>
              <w:t>Niagara – Size of 1 Full Backup (F.E.T.)</w:t>
            </w:r>
          </w:p>
        </w:tc>
        <w:tc>
          <w:tcPr>
            <w:tcW w:w="1940" w:type="dxa"/>
            <w:tcBorders>
              <w:top w:val="single" w:sz="8" w:space="0" w:color="A3A3A3"/>
              <w:left w:val="nil"/>
              <w:bottom w:val="single" w:sz="8" w:space="0" w:color="A3A3A3"/>
              <w:right w:val="single" w:sz="8" w:space="0" w:color="A3A3A3"/>
            </w:tcBorders>
            <w:tcMar>
              <w:top w:w="0" w:type="dxa"/>
              <w:left w:w="108" w:type="dxa"/>
              <w:bottom w:w="0" w:type="dxa"/>
              <w:right w:w="108" w:type="dxa"/>
            </w:tcMar>
            <w:vAlign w:val="center"/>
            <w:hideMark/>
          </w:tcPr>
          <w:p w:rsidR="00B16A43" w:rsidRDefault="00B16A43">
            <w:pPr>
              <w:rPr>
                <w:rFonts w:ascii="Garamond" w:hAnsi="Garamond"/>
                <w:color w:val="000000"/>
                <w:sz w:val="24"/>
                <w:szCs w:val="24"/>
              </w:rPr>
            </w:pPr>
            <w:r>
              <w:rPr>
                <w:rFonts w:ascii="Garamond" w:hAnsi="Garamond"/>
                <w:color w:val="000000"/>
                <w:sz w:val="24"/>
                <w:szCs w:val="24"/>
              </w:rPr>
              <w:t>55 Terabytes (60 all - 5 dev)</w:t>
            </w:r>
          </w:p>
        </w:tc>
      </w:tr>
      <w:tr w:rsidR="00B16A43" w:rsidTr="00B16A43">
        <w:trPr>
          <w:trHeight w:val="645"/>
        </w:trPr>
        <w:tc>
          <w:tcPr>
            <w:tcW w:w="3060" w:type="dxa"/>
            <w:tcBorders>
              <w:top w:val="nil"/>
              <w:left w:val="single" w:sz="8" w:space="0" w:color="A3A3A3"/>
              <w:bottom w:val="single" w:sz="8" w:space="0" w:color="A3A3A3"/>
              <w:right w:val="single" w:sz="8" w:space="0" w:color="A3A3A3"/>
            </w:tcBorders>
            <w:tcMar>
              <w:top w:w="0" w:type="dxa"/>
              <w:left w:w="108" w:type="dxa"/>
              <w:bottom w:w="0" w:type="dxa"/>
              <w:right w:w="108" w:type="dxa"/>
            </w:tcMar>
            <w:vAlign w:val="center"/>
            <w:hideMark/>
          </w:tcPr>
          <w:p w:rsidR="00B16A43" w:rsidRDefault="00B16A43">
            <w:pPr>
              <w:rPr>
                <w:rFonts w:ascii="Garamond" w:hAnsi="Garamond"/>
                <w:b/>
                <w:bCs/>
                <w:color w:val="000000"/>
                <w:sz w:val="24"/>
                <w:szCs w:val="24"/>
              </w:rPr>
            </w:pPr>
            <w:r>
              <w:rPr>
                <w:rFonts w:ascii="Garamond" w:hAnsi="Garamond"/>
                <w:b/>
                <w:bCs/>
                <w:color w:val="000000"/>
                <w:sz w:val="24"/>
                <w:szCs w:val="24"/>
              </w:rPr>
              <w:t>Buffalo – Size of 1 Full Backup (F.E.T.)</w:t>
            </w:r>
          </w:p>
        </w:tc>
        <w:tc>
          <w:tcPr>
            <w:tcW w:w="1940" w:type="dxa"/>
            <w:tcBorders>
              <w:top w:val="nil"/>
              <w:left w:val="nil"/>
              <w:bottom w:val="single" w:sz="8" w:space="0" w:color="A3A3A3"/>
              <w:right w:val="single" w:sz="8" w:space="0" w:color="A3A3A3"/>
            </w:tcBorders>
            <w:tcMar>
              <w:top w:w="0" w:type="dxa"/>
              <w:left w:w="108" w:type="dxa"/>
              <w:bottom w:w="0" w:type="dxa"/>
              <w:right w:w="108" w:type="dxa"/>
            </w:tcMar>
            <w:vAlign w:val="center"/>
            <w:hideMark/>
          </w:tcPr>
          <w:p w:rsidR="00B16A43" w:rsidRDefault="00B16A43">
            <w:pPr>
              <w:rPr>
                <w:rFonts w:ascii="Garamond" w:hAnsi="Garamond"/>
                <w:color w:val="000000"/>
                <w:sz w:val="24"/>
                <w:szCs w:val="24"/>
              </w:rPr>
            </w:pPr>
            <w:r>
              <w:rPr>
                <w:rFonts w:ascii="Garamond" w:hAnsi="Garamond"/>
                <w:color w:val="000000"/>
                <w:sz w:val="24"/>
                <w:szCs w:val="24"/>
              </w:rPr>
              <w:t>2.5 Terabytes</w:t>
            </w:r>
          </w:p>
        </w:tc>
      </w:tr>
      <w:tr w:rsidR="00B16A43" w:rsidTr="00B16A43">
        <w:trPr>
          <w:trHeight w:val="645"/>
        </w:trPr>
        <w:tc>
          <w:tcPr>
            <w:tcW w:w="3060" w:type="dxa"/>
            <w:tcBorders>
              <w:top w:val="nil"/>
              <w:left w:val="single" w:sz="8" w:space="0" w:color="A3A3A3"/>
              <w:bottom w:val="single" w:sz="8" w:space="0" w:color="A3A3A3"/>
              <w:right w:val="single" w:sz="8" w:space="0" w:color="A3A3A3"/>
            </w:tcBorders>
            <w:tcMar>
              <w:top w:w="0" w:type="dxa"/>
              <w:left w:w="108" w:type="dxa"/>
              <w:bottom w:w="0" w:type="dxa"/>
              <w:right w:w="108" w:type="dxa"/>
            </w:tcMar>
            <w:vAlign w:val="center"/>
            <w:hideMark/>
          </w:tcPr>
          <w:p w:rsidR="00B16A43" w:rsidRDefault="00B16A43">
            <w:pPr>
              <w:rPr>
                <w:rFonts w:ascii="Garamond" w:hAnsi="Garamond"/>
                <w:b/>
                <w:bCs/>
                <w:color w:val="000000"/>
                <w:sz w:val="24"/>
                <w:szCs w:val="24"/>
              </w:rPr>
            </w:pPr>
            <w:r>
              <w:rPr>
                <w:rFonts w:ascii="Garamond" w:hAnsi="Garamond"/>
                <w:b/>
                <w:bCs/>
                <w:color w:val="000000"/>
                <w:sz w:val="24"/>
                <w:szCs w:val="24"/>
              </w:rPr>
              <w:t>Allegany – Size of 1 Full Backup (F.E.T.)</w:t>
            </w:r>
          </w:p>
        </w:tc>
        <w:tc>
          <w:tcPr>
            <w:tcW w:w="1940" w:type="dxa"/>
            <w:tcBorders>
              <w:top w:val="nil"/>
              <w:left w:val="nil"/>
              <w:bottom w:val="single" w:sz="8" w:space="0" w:color="A3A3A3"/>
              <w:right w:val="single" w:sz="8" w:space="0" w:color="A3A3A3"/>
            </w:tcBorders>
            <w:tcMar>
              <w:top w:w="0" w:type="dxa"/>
              <w:left w:w="108" w:type="dxa"/>
              <w:bottom w:w="0" w:type="dxa"/>
              <w:right w:w="108" w:type="dxa"/>
            </w:tcMar>
            <w:vAlign w:val="center"/>
            <w:hideMark/>
          </w:tcPr>
          <w:p w:rsidR="00B16A43" w:rsidRDefault="00B16A43">
            <w:pPr>
              <w:rPr>
                <w:rFonts w:ascii="Garamond" w:hAnsi="Garamond"/>
                <w:color w:val="000000"/>
                <w:sz w:val="24"/>
                <w:szCs w:val="24"/>
              </w:rPr>
            </w:pPr>
            <w:r>
              <w:rPr>
                <w:rFonts w:ascii="Garamond" w:hAnsi="Garamond"/>
                <w:color w:val="000000"/>
                <w:sz w:val="24"/>
                <w:szCs w:val="24"/>
              </w:rPr>
              <w:t>5.5 Terabytes</w:t>
            </w:r>
          </w:p>
        </w:tc>
      </w:tr>
      <w:tr w:rsidR="00B16A43" w:rsidTr="00B16A43">
        <w:trPr>
          <w:trHeight w:val="960"/>
        </w:trPr>
        <w:tc>
          <w:tcPr>
            <w:tcW w:w="3060" w:type="dxa"/>
            <w:tcBorders>
              <w:top w:val="nil"/>
              <w:left w:val="single" w:sz="8" w:space="0" w:color="A3A3A3"/>
              <w:bottom w:val="single" w:sz="8" w:space="0" w:color="A3A3A3"/>
              <w:right w:val="single" w:sz="8" w:space="0" w:color="A3A3A3"/>
            </w:tcBorders>
            <w:tcMar>
              <w:top w:w="0" w:type="dxa"/>
              <w:left w:w="108" w:type="dxa"/>
              <w:bottom w:w="0" w:type="dxa"/>
              <w:right w:w="108" w:type="dxa"/>
            </w:tcMar>
            <w:vAlign w:val="center"/>
            <w:hideMark/>
          </w:tcPr>
          <w:p w:rsidR="00B16A43" w:rsidRDefault="00B16A43">
            <w:pPr>
              <w:rPr>
                <w:rFonts w:ascii="Garamond" w:hAnsi="Garamond"/>
                <w:b/>
                <w:bCs/>
                <w:color w:val="000000"/>
                <w:sz w:val="24"/>
                <w:szCs w:val="24"/>
              </w:rPr>
            </w:pPr>
            <w:r>
              <w:rPr>
                <w:rFonts w:ascii="Garamond" w:hAnsi="Garamond"/>
                <w:b/>
                <w:bCs/>
                <w:color w:val="000000"/>
                <w:sz w:val="24"/>
                <w:szCs w:val="24"/>
              </w:rPr>
              <w:t>Size of 31 days of weekly fulls and incrementals (All Sites)</w:t>
            </w:r>
          </w:p>
        </w:tc>
        <w:tc>
          <w:tcPr>
            <w:tcW w:w="1940" w:type="dxa"/>
            <w:tcBorders>
              <w:top w:val="nil"/>
              <w:left w:val="nil"/>
              <w:bottom w:val="single" w:sz="8" w:space="0" w:color="A3A3A3"/>
              <w:right w:val="single" w:sz="8" w:space="0" w:color="A3A3A3"/>
            </w:tcBorders>
            <w:tcMar>
              <w:top w:w="0" w:type="dxa"/>
              <w:left w:w="108" w:type="dxa"/>
              <w:bottom w:w="0" w:type="dxa"/>
              <w:right w:w="108" w:type="dxa"/>
            </w:tcMar>
            <w:vAlign w:val="center"/>
            <w:hideMark/>
          </w:tcPr>
          <w:p w:rsidR="00B16A43" w:rsidRDefault="00B16A43">
            <w:pPr>
              <w:rPr>
                <w:rFonts w:ascii="Garamond" w:hAnsi="Garamond"/>
                <w:color w:val="000000"/>
                <w:sz w:val="24"/>
                <w:szCs w:val="24"/>
              </w:rPr>
            </w:pPr>
            <w:r>
              <w:rPr>
                <w:rFonts w:ascii="Garamond" w:hAnsi="Garamond"/>
                <w:color w:val="000000"/>
                <w:sz w:val="24"/>
                <w:szCs w:val="24"/>
              </w:rPr>
              <w:t>1500 Terabytes</w:t>
            </w:r>
          </w:p>
        </w:tc>
      </w:tr>
    </w:tbl>
    <w:p w:rsidR="00B16A43" w:rsidRDefault="00B16A43" w:rsidP="00EF4C9E">
      <w:pPr>
        <w:tabs>
          <w:tab w:val="left" w:pos="1520"/>
        </w:tabs>
        <w:rPr>
          <w:b/>
        </w:rPr>
      </w:pPr>
    </w:p>
    <w:p w:rsidR="00B16A43" w:rsidRDefault="00B16A43" w:rsidP="00EF4C9E">
      <w:pPr>
        <w:tabs>
          <w:tab w:val="left" w:pos="1520"/>
        </w:tabs>
        <w:rPr>
          <w:b/>
        </w:rPr>
      </w:pPr>
    </w:p>
    <w:p w:rsidR="004D32F5" w:rsidRDefault="004D32F5" w:rsidP="004D32F5">
      <w:pPr>
        <w:pStyle w:val="Heading2"/>
      </w:pPr>
      <w:bookmarkStart w:id="18" w:name="_Toc17728987"/>
      <w:bookmarkStart w:id="19" w:name="_Toc17988936"/>
      <w:r>
        <w:t>Price/Fee Structure and Terms</w:t>
      </w:r>
      <w:bookmarkEnd w:id="18"/>
      <w:bookmarkEnd w:id="19"/>
    </w:p>
    <w:p w:rsidR="00470E46" w:rsidRPr="0008456E" w:rsidRDefault="0008456E" w:rsidP="0008456E">
      <w:r>
        <w:t xml:space="preserve">                             Please submit your </w:t>
      </w:r>
      <w:r w:rsidR="00A91A3D">
        <w:t xml:space="preserve">proposed </w:t>
      </w:r>
      <w:r>
        <w:t>solution</w:t>
      </w:r>
      <w:r w:rsidR="00A91A3D">
        <w:t>(s)</w:t>
      </w:r>
      <w:r>
        <w:t>, time</w:t>
      </w:r>
      <w:r w:rsidR="00A91A3D">
        <w:t>table</w:t>
      </w:r>
      <w:r>
        <w:t xml:space="preserve"> and </w:t>
      </w:r>
      <w:r w:rsidR="00A91A3D">
        <w:t xml:space="preserve">itemized </w:t>
      </w:r>
      <w:r>
        <w:t>cost</w:t>
      </w:r>
      <w:r w:rsidR="00A91A3D">
        <w:t>(s)</w:t>
      </w:r>
      <w:r>
        <w:t xml:space="preserve">. </w:t>
      </w:r>
    </w:p>
    <w:p w:rsidR="00E96538" w:rsidRPr="002E0C14" w:rsidRDefault="00E96538" w:rsidP="00E96538">
      <w:pPr>
        <w:pStyle w:val="Heading2"/>
      </w:pPr>
      <w:bookmarkStart w:id="20" w:name="_Toc17988939"/>
      <w:r>
        <w:t>Price Escalation</w:t>
      </w:r>
      <w:bookmarkEnd w:id="20"/>
    </w:p>
    <w:p w:rsidR="00E96538" w:rsidRDefault="00E96538" w:rsidP="00E96538">
      <w:pPr>
        <w:widowControl w:val="0"/>
        <w:kinsoku w:val="0"/>
        <w:spacing w:after="0" w:line="240" w:lineRule="auto"/>
        <w:ind w:left="1440"/>
        <w:jc w:val="both"/>
        <w:rPr>
          <w:rFonts w:eastAsia="Times New Roman" w:cstheme="minorHAnsi"/>
        </w:rPr>
      </w:pPr>
      <w:r w:rsidRPr="0008456E">
        <w:rPr>
          <w:rFonts w:eastAsia="Times New Roman" w:cstheme="minorHAnsi"/>
        </w:rPr>
        <w:t>Prices are fixed during the term of the contract</w:t>
      </w:r>
      <w:r w:rsidR="00B37621">
        <w:rPr>
          <w:rFonts w:eastAsia="Times New Roman" w:cstheme="minorHAnsi"/>
        </w:rPr>
        <w:t>.</w:t>
      </w:r>
    </w:p>
    <w:p w:rsidR="0008456E" w:rsidRPr="0008456E" w:rsidRDefault="0008456E" w:rsidP="00E96538">
      <w:pPr>
        <w:widowControl w:val="0"/>
        <w:kinsoku w:val="0"/>
        <w:spacing w:after="0" w:line="240" w:lineRule="auto"/>
        <w:ind w:left="1440"/>
        <w:jc w:val="both"/>
        <w:rPr>
          <w:rFonts w:eastAsia="Times New Roman" w:cstheme="minorHAnsi"/>
        </w:rPr>
      </w:pPr>
    </w:p>
    <w:p w:rsidR="00E96538" w:rsidRPr="00961C9F" w:rsidRDefault="00E96538" w:rsidP="00E96538">
      <w:pPr>
        <w:pStyle w:val="Heading2"/>
        <w:rPr>
          <w:rFonts w:eastAsia="Times New Roman"/>
        </w:rPr>
      </w:pPr>
      <w:bookmarkStart w:id="21" w:name="_Toc17988943"/>
      <w:r w:rsidRPr="00961C9F">
        <w:rPr>
          <w:rFonts w:eastAsia="Times New Roman"/>
        </w:rPr>
        <w:t>Tax Exempt Status</w:t>
      </w:r>
      <w:bookmarkEnd w:id="21"/>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22" w:name="_Toc17988944"/>
      <w:r w:rsidRPr="00961C9F">
        <w:rPr>
          <w:rFonts w:eastAsia="Times New Roman"/>
        </w:rPr>
        <w:t>Payment Terms</w:t>
      </w:r>
      <w:bookmarkEnd w:id="22"/>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3" w:name="_Toc17988945"/>
      <w:r>
        <w:rPr>
          <w:rFonts w:eastAsia="Times New Roman"/>
        </w:rPr>
        <w:t>Supplemental Bidder Information</w:t>
      </w:r>
      <w:bookmarkEnd w:id="23"/>
    </w:p>
    <w:p w:rsidR="00E96538" w:rsidRPr="00961C9F" w:rsidRDefault="00E96538" w:rsidP="00E96538">
      <w:pPr>
        <w:pStyle w:val="Heading2"/>
        <w:rPr>
          <w:rFonts w:eastAsia="Times New Roman"/>
        </w:rPr>
      </w:pPr>
      <w:bookmarkStart w:id="24" w:name="_Toc17988947"/>
      <w:r w:rsidRPr="00961C9F">
        <w:rPr>
          <w:rFonts w:eastAsia="Times New Roman"/>
        </w:rPr>
        <w:t>Conformity of Proposal with SGC Requirements</w:t>
      </w:r>
      <w:bookmarkEnd w:id="24"/>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rsidR="00E96538" w:rsidRPr="00961C9F" w:rsidRDefault="00E96538" w:rsidP="00E96538">
      <w:pPr>
        <w:pStyle w:val="Heading1"/>
        <w:rPr>
          <w:rFonts w:eastAsia="Times New Roman"/>
        </w:rPr>
      </w:pPr>
      <w:bookmarkStart w:id="25" w:name="_Toc17988948"/>
      <w:r w:rsidRPr="00961C9F">
        <w:rPr>
          <w:rFonts w:eastAsia="Times New Roman"/>
        </w:rPr>
        <w:lastRenderedPageBreak/>
        <w:t>Vendor Requirements</w:t>
      </w:r>
      <w:bookmarkEnd w:id="25"/>
    </w:p>
    <w:p w:rsidR="00E96538" w:rsidRPr="00961C9F" w:rsidRDefault="00E96538" w:rsidP="00E96538">
      <w:pPr>
        <w:pStyle w:val="Heading2"/>
        <w:rPr>
          <w:rFonts w:eastAsia="Times New Roman"/>
        </w:rPr>
      </w:pPr>
      <w:bookmarkStart w:id="26" w:name="_Toc17988949"/>
      <w:r w:rsidRPr="00961C9F">
        <w:rPr>
          <w:rFonts w:eastAsia="Times New Roman"/>
        </w:rPr>
        <w:t>Proposal</w:t>
      </w:r>
      <w:bookmarkEnd w:id="26"/>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27" w:name="_Toc17988951"/>
      <w:r w:rsidRPr="00961C9F">
        <w:rPr>
          <w:rFonts w:eastAsia="Times New Roman"/>
        </w:rPr>
        <w:t>Standard Service Agreement</w:t>
      </w:r>
      <w:bookmarkEnd w:id="27"/>
      <w:r w:rsidRPr="00961C9F">
        <w:rPr>
          <w:rFonts w:eastAsia="Times New Roman"/>
        </w:rPr>
        <w:t xml:space="preserve">  </w:t>
      </w:r>
    </w:p>
    <w:p w:rsidR="00E96538" w:rsidRPr="00A91A3D" w:rsidRDefault="00E96538" w:rsidP="00E96538">
      <w:pPr>
        <w:autoSpaceDE w:val="0"/>
        <w:autoSpaceDN w:val="0"/>
        <w:adjustRightInd w:val="0"/>
        <w:spacing w:after="120" w:line="240" w:lineRule="auto"/>
        <w:ind w:left="1440"/>
        <w:jc w:val="both"/>
        <w:rPr>
          <w:rFonts w:eastAsia="Times New Roman" w:cstheme="minorHAnsi"/>
        </w:rPr>
      </w:pPr>
      <w:r w:rsidRPr="00A91A3D">
        <w:rPr>
          <w:rFonts w:eastAsia="Times New Roman" w:cstheme="minorHAnsi"/>
        </w:rPr>
        <w:t xml:space="preserve">Successful Bidder </w:t>
      </w:r>
      <w:r w:rsidR="00A91A3D" w:rsidRPr="00A91A3D">
        <w:rPr>
          <w:rFonts w:eastAsia="Times New Roman" w:cstheme="minorHAnsi"/>
        </w:rPr>
        <w:t xml:space="preserve">may </w:t>
      </w:r>
      <w:r w:rsidRPr="00A91A3D">
        <w:rPr>
          <w:rFonts w:eastAsia="Times New Roman" w:cstheme="minorHAnsi"/>
        </w:rPr>
        <w:t>be expected to sign SGC’s standard services agreement, subject to such changes as are necessary to reflect the terms of this RFP and Successful Bidder’s bid or proposal, and such further changes as the parties, acting reasonably, may agree.</w:t>
      </w:r>
    </w:p>
    <w:p w:rsidR="00E96538" w:rsidRPr="00961C9F" w:rsidRDefault="00E96538" w:rsidP="00E96538">
      <w:pPr>
        <w:pStyle w:val="Heading2"/>
        <w:rPr>
          <w:rFonts w:eastAsia="Times New Roman"/>
        </w:rPr>
      </w:pPr>
      <w:bookmarkStart w:id="28" w:name="_Toc17988955"/>
      <w:bookmarkStart w:id="29" w:name="OLE_LINK3"/>
      <w:bookmarkStart w:id="30" w:name="OLE_LINK4"/>
      <w:r w:rsidRPr="00961C9F">
        <w:rPr>
          <w:rFonts w:eastAsia="Times New Roman"/>
        </w:rPr>
        <w:t>Data Security</w:t>
      </w:r>
      <w:bookmarkEnd w:id="28"/>
      <w:r w:rsidRPr="00961C9F">
        <w:rPr>
          <w:rFonts w:eastAsia="Times New Roman"/>
        </w:rPr>
        <w:t xml:space="preserve"> </w:t>
      </w:r>
    </w:p>
    <w:p w:rsidR="00E96538" w:rsidRPr="00A91A3D" w:rsidRDefault="00E96538" w:rsidP="00E96538">
      <w:pPr>
        <w:spacing w:after="120" w:line="240" w:lineRule="auto"/>
        <w:ind w:left="1440"/>
        <w:jc w:val="both"/>
        <w:rPr>
          <w:rFonts w:eastAsia="Times New Roman" w:cstheme="minorHAnsi"/>
        </w:rPr>
      </w:pPr>
      <w:r w:rsidRPr="00A91A3D">
        <w:rPr>
          <w:rFonts w:eastAsia="Times New Roman" w:cstheme="minorHAnsi"/>
        </w:rPr>
        <w:t>Upon request, Successful Bidder/Vendor will supply a current Statement on Standards for A</w:t>
      </w:r>
      <w:r w:rsidR="007F794E" w:rsidRPr="00A91A3D">
        <w:rPr>
          <w:rFonts w:eastAsia="Times New Roman" w:cstheme="minorHAnsi"/>
        </w:rPr>
        <w:t xml:space="preserve">ttestation Engagements [SSAE] </w:t>
      </w:r>
      <w:r w:rsidRPr="00A91A3D">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rsidR="00E96538" w:rsidRPr="00961C9F" w:rsidRDefault="00E96538" w:rsidP="00E96538">
      <w:pPr>
        <w:pStyle w:val="Heading2"/>
        <w:rPr>
          <w:rFonts w:eastAsia="Times New Roman"/>
        </w:rPr>
      </w:pPr>
      <w:bookmarkStart w:id="31" w:name="_Toc17988956"/>
      <w:r w:rsidRPr="00961C9F">
        <w:rPr>
          <w:rFonts w:eastAsia="Times New Roman"/>
        </w:rPr>
        <w:t>Directives and Minimum Internal Control Standards</w:t>
      </w:r>
      <w:bookmarkEnd w:id="31"/>
      <w:r w:rsidRPr="00961C9F">
        <w:rPr>
          <w:rFonts w:eastAsia="Times New Roman"/>
        </w:rPr>
        <w:t xml:space="preserve"> </w:t>
      </w:r>
    </w:p>
    <w:p w:rsidR="00E96538" w:rsidRDefault="00E96538" w:rsidP="00E96538">
      <w:pPr>
        <w:ind w:left="1440"/>
        <w:jc w:val="both"/>
        <w:rPr>
          <w:rFonts w:asciiTheme="majorHAnsi" w:eastAsia="Times New Roman" w:hAnsiTheme="majorHAnsi" w:cstheme="majorBidi"/>
          <w:color w:val="2E74B5" w:themeColor="accent1" w:themeShade="BF"/>
          <w:sz w:val="32"/>
          <w:szCs w:val="32"/>
        </w:rPr>
      </w:pPr>
      <w:r w:rsidRPr="00A91A3D">
        <w:rPr>
          <w:rFonts w:eastAsia="Times New Roman" w:cstheme="minorHAnsi"/>
        </w:rPr>
        <w:t>Vendor must comply with SGC’s reasonable directives as regards IT security and other matters. In addition, as contemplated in § 542.16 of NIGC Information Technology MICS, Vendor must comply with SGC’s internal control standards, including change control procedures and SGC hereby reserves the right to monitor and audit compliance with said internal control procedures, either directly or through an appointed representative such as an external auditor.</w:t>
      </w:r>
      <w:bookmarkEnd w:id="29"/>
      <w:bookmarkEnd w:id="30"/>
      <w:r>
        <w:rPr>
          <w:rFonts w:eastAsia="Times New Roman"/>
        </w:rPr>
        <w:br w:type="page"/>
      </w:r>
    </w:p>
    <w:p w:rsidR="00E96538" w:rsidRDefault="00E96538" w:rsidP="00E96538">
      <w:pPr>
        <w:pStyle w:val="Heading1"/>
        <w:rPr>
          <w:rFonts w:eastAsia="Times New Roman"/>
        </w:rPr>
      </w:pPr>
      <w:bookmarkStart w:id="32" w:name="_Toc17988957"/>
      <w:r>
        <w:rPr>
          <w:rFonts w:eastAsia="Times New Roman"/>
        </w:rPr>
        <w:lastRenderedPageBreak/>
        <w:t xml:space="preserve">Bidder </w:t>
      </w:r>
      <w:r w:rsidRPr="0034489C">
        <w:rPr>
          <w:rFonts w:eastAsia="Times New Roman"/>
        </w:rPr>
        <w:t>Cert</w:t>
      </w:r>
      <w:r>
        <w:rPr>
          <w:rFonts w:eastAsia="Times New Roman"/>
        </w:rPr>
        <w:t>ifications and Representations</w:t>
      </w:r>
      <w:bookmarkEnd w:id="32"/>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5"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75" w:rsidRDefault="007A7A75">
      <w:pPr>
        <w:spacing w:after="0" w:line="240" w:lineRule="auto"/>
      </w:pPr>
      <w:r>
        <w:separator/>
      </w:r>
    </w:p>
  </w:endnote>
  <w:endnote w:type="continuationSeparator" w:id="0">
    <w:p w:rsidR="007A7A75" w:rsidRDefault="007A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4F2163" w:rsidRDefault="004F216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12E2">
          <w:rPr>
            <w:noProof/>
          </w:rPr>
          <w:t>9</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75" w:rsidRDefault="007A7A75">
      <w:pPr>
        <w:spacing w:after="0" w:line="240" w:lineRule="auto"/>
      </w:pPr>
      <w:r>
        <w:separator/>
      </w:r>
    </w:p>
  </w:footnote>
  <w:footnote w:type="continuationSeparator" w:id="0">
    <w:p w:rsidR="007A7A75" w:rsidRDefault="007A7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8456E"/>
    <w:rsid w:val="001363D7"/>
    <w:rsid w:val="001426B4"/>
    <w:rsid w:val="00170CEC"/>
    <w:rsid w:val="00177D10"/>
    <w:rsid w:val="001C1735"/>
    <w:rsid w:val="001F7E70"/>
    <w:rsid w:val="0023713C"/>
    <w:rsid w:val="00237E51"/>
    <w:rsid w:val="002550F5"/>
    <w:rsid w:val="002D378C"/>
    <w:rsid w:val="002D3B34"/>
    <w:rsid w:val="002F0BE9"/>
    <w:rsid w:val="003E25F2"/>
    <w:rsid w:val="00401D0C"/>
    <w:rsid w:val="00416615"/>
    <w:rsid w:val="00456E00"/>
    <w:rsid w:val="00470E46"/>
    <w:rsid w:val="004D32F5"/>
    <w:rsid w:val="004F2163"/>
    <w:rsid w:val="00544D7F"/>
    <w:rsid w:val="00551058"/>
    <w:rsid w:val="00560743"/>
    <w:rsid w:val="005D16E5"/>
    <w:rsid w:val="00625C2D"/>
    <w:rsid w:val="00640D1C"/>
    <w:rsid w:val="006412E2"/>
    <w:rsid w:val="006A381D"/>
    <w:rsid w:val="006C2FA0"/>
    <w:rsid w:val="00750D54"/>
    <w:rsid w:val="0077626A"/>
    <w:rsid w:val="007A7A75"/>
    <w:rsid w:val="007F794E"/>
    <w:rsid w:val="00806F87"/>
    <w:rsid w:val="00834241"/>
    <w:rsid w:val="008C277F"/>
    <w:rsid w:val="00964B53"/>
    <w:rsid w:val="009D2F2D"/>
    <w:rsid w:val="00A66CA8"/>
    <w:rsid w:val="00A757C7"/>
    <w:rsid w:val="00A91A3D"/>
    <w:rsid w:val="00B04250"/>
    <w:rsid w:val="00B16A43"/>
    <w:rsid w:val="00B34560"/>
    <w:rsid w:val="00B37621"/>
    <w:rsid w:val="00B4539F"/>
    <w:rsid w:val="00C12407"/>
    <w:rsid w:val="00C60AFF"/>
    <w:rsid w:val="00E96538"/>
    <w:rsid w:val="00EE6F09"/>
    <w:rsid w:val="00EF39BA"/>
    <w:rsid w:val="00EF4C9E"/>
    <w:rsid w:val="00F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A91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73670">
      <w:bodyDiv w:val="1"/>
      <w:marLeft w:val="0"/>
      <w:marRight w:val="0"/>
      <w:marTop w:val="0"/>
      <w:marBottom w:val="0"/>
      <w:divBdr>
        <w:top w:val="none" w:sz="0" w:space="0" w:color="auto"/>
        <w:left w:val="none" w:sz="0" w:space="0" w:color="auto"/>
        <w:bottom w:val="none" w:sz="0" w:space="0" w:color="auto"/>
        <w:right w:val="none" w:sz="0" w:space="0" w:color="auto"/>
      </w:divBdr>
    </w:div>
    <w:div w:id="825976442">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1863206451">
      <w:bodyDiv w:val="1"/>
      <w:marLeft w:val="0"/>
      <w:marRight w:val="0"/>
      <w:marTop w:val="0"/>
      <w:marBottom w:val="0"/>
      <w:divBdr>
        <w:top w:val="none" w:sz="0" w:space="0" w:color="auto"/>
        <w:left w:val="none" w:sz="0" w:space="0" w:color="auto"/>
        <w:bottom w:val="none" w:sz="0" w:space="0" w:color="auto"/>
        <w:right w:val="none" w:sz="0" w:space="0" w:color="auto"/>
      </w:divBdr>
    </w:div>
    <w:div w:id="2103986332">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 w:id="214638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axe@senecacasinos.com" TargetMode="External"/><Relationship Id="rId5" Type="http://schemas.openxmlformats.org/officeDocument/2006/relationships/footnotes" Target="footnote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Charles Saxe</cp:lastModifiedBy>
  <cp:revision>2</cp:revision>
  <cp:lastPrinted>2022-02-24T19:49:00Z</cp:lastPrinted>
  <dcterms:created xsi:type="dcterms:W3CDTF">2022-02-28T19:52:00Z</dcterms:created>
  <dcterms:modified xsi:type="dcterms:W3CDTF">2022-02-28T19:52:00Z</dcterms:modified>
</cp:coreProperties>
</file>