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AB5107A" w14:textId="77777777" w:rsidR="00E96538" w:rsidRDefault="00E96538" w:rsidP="00E96538"/>
        <w:p w14:paraId="1F45F90E"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391E56A6" wp14:editId="5BEEE902">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22980588"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D18E5BC"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1E56A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22980588" w14:textId="77777777" w:rsidR="00D72C9A" w:rsidRPr="00D034EB" w:rsidRDefault="00D72C9A"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D18E5BC"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5A7054AB" w14:textId="77777777" w:rsidR="00E96538" w:rsidRDefault="00E96538" w:rsidP="00E96538"/>
        <w:p w14:paraId="226D0202"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776DCF3C" wp14:editId="4AB4250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AF2D10E" w14:textId="6D1A6BC1" w:rsidR="00E96538" w:rsidRDefault="008A7C84" w:rsidP="00E96538">
          <w:pPr>
            <w:ind w:left="6030"/>
          </w:pPr>
          <w:r w:rsidRPr="00F75BD1">
            <w:rPr>
              <w:noProof/>
            </w:rPr>
            <mc:AlternateContent>
              <mc:Choice Requires="wps">
                <w:drawing>
                  <wp:anchor distT="0" distB="0" distL="114300" distR="114300" simplePos="0" relativeHeight="251662336" behindDoc="0" locked="0" layoutInCell="1" allowOverlap="1" wp14:anchorId="34618D9A" wp14:editId="773BDF98">
                    <wp:simplePos x="0" y="0"/>
                    <wp:positionH relativeFrom="margin">
                      <wp:posOffset>-571500</wp:posOffset>
                    </wp:positionH>
                    <wp:positionV relativeFrom="page">
                      <wp:posOffset>7749540</wp:posOffset>
                    </wp:positionV>
                    <wp:extent cx="7239000" cy="662940"/>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662940"/>
                            </a:xfrm>
                            <a:prstGeom prst="rect">
                              <a:avLst/>
                            </a:prstGeom>
                            <a:noFill/>
                            <a:ln w="6350">
                              <a:noFill/>
                            </a:ln>
                            <a:effectLst/>
                          </wps:spPr>
                          <wps:txbx>
                            <w:txbxContent>
                              <w:p w14:paraId="08F4833F" w14:textId="77777777" w:rsidR="008A7C84" w:rsidRDefault="008A7C84" w:rsidP="009F707B">
                                <w:pPr>
                                  <w:pStyle w:val="NoSpacing"/>
                                </w:pPr>
                              </w:p>
                              <w:p w14:paraId="3DE87EF1" w14:textId="7DF707D5" w:rsidR="00D72C9A" w:rsidRPr="008A7C84" w:rsidRDefault="008A7C84" w:rsidP="00E96538">
                                <w:pPr>
                                  <w:pStyle w:val="NoSpacing"/>
                                  <w:jc w:val="right"/>
                                </w:pPr>
                                <w:r w:rsidRPr="008A7C84">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618D9A" id="Text Box 3" o:spid="_x0000_s1027" type="#_x0000_t202" style="position:absolute;left:0;text-align:left;margin-left:-45pt;margin-top:610.2pt;width:570pt;height:5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" filled="f" stroked="f" strokeweight=".5pt">
                    <v:textbox inset="126pt,0,54pt,0">
                      <w:txbxContent>
                        <w:p w14:paraId="08F4833F" w14:textId="77777777" w:rsidR="008A7C84" w:rsidRDefault="008A7C84" w:rsidP="009F707B">
                          <w:pPr>
                            <w:pStyle w:val="NoSpacing"/>
                          </w:pPr>
                        </w:p>
                        <w:p w14:paraId="3DE87EF1" w14:textId="7DF707D5" w:rsidR="00D72C9A" w:rsidRPr="008A7C84" w:rsidRDefault="008A7C84" w:rsidP="00E96538">
                          <w:pPr>
                            <w:pStyle w:val="NoSpacing"/>
                            <w:jc w:val="right"/>
                          </w:pPr>
                          <w:r w:rsidRPr="008A7C84">
                            <w:t>Confidential</w:t>
                          </w:r>
                        </w:p>
                      </w:txbxContent>
                    </v:textbox>
                    <w10:wrap type="square" anchorx="margin" anchory="page"/>
                  </v:shape>
                </w:pict>
              </mc:Fallback>
            </mc:AlternateContent>
          </w:r>
          <w:r w:rsidR="00E96538" w:rsidRPr="003E48CF">
            <w:rPr>
              <w:noProof/>
            </w:rPr>
            <mc:AlternateContent>
              <mc:Choice Requires="wps">
                <w:drawing>
                  <wp:anchor distT="0" distB="0" distL="114300" distR="114300" simplePos="0" relativeHeight="251666432" behindDoc="0" locked="0" layoutInCell="1" allowOverlap="1" wp14:anchorId="7BFCB370" wp14:editId="287CB73D">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412A118A" w14:textId="16F9FF82" w:rsidR="00D72C9A" w:rsidRPr="008A7C84" w:rsidRDefault="00D72C9A" w:rsidP="001363D7">
                                <w:pPr>
                                  <w:pStyle w:val="NoSpacing"/>
                                  <w:ind w:left="-2250"/>
                                  <w:rPr>
                                    <w:color w:val="5B9BD5" w:themeColor="accent1"/>
                                    <w:sz w:val="48"/>
                                    <w:szCs w:val="48"/>
                                    <w:highlight w:val="blue"/>
                                  </w:rPr>
                                </w:pPr>
                                <w:r>
                                  <w:rPr>
                                    <w:color w:val="595959" w:themeColor="text1" w:themeTint="A6"/>
                                    <w:sz w:val="44"/>
                                    <w:szCs w:val="44"/>
                                  </w:rPr>
                                  <w:t xml:space="preserve">                                                </w:t>
                                </w:r>
                                <w:r w:rsidR="008A7C84">
                                  <w:rPr>
                                    <w:color w:val="5B9BD5" w:themeColor="accent1"/>
                                    <w:sz w:val="44"/>
                                    <w:szCs w:val="44"/>
                                  </w:rPr>
                                  <w:t xml:space="preserve">Hotel </w:t>
                                </w:r>
                                <w:r w:rsidR="00285EEC">
                                  <w:rPr>
                                    <w:color w:val="5B9BD5" w:themeColor="accent1"/>
                                    <w:sz w:val="44"/>
                                    <w:szCs w:val="44"/>
                                  </w:rPr>
                                  <w:t xml:space="preserve">Guest </w:t>
                                </w:r>
                                <w:r w:rsidR="008A7C84">
                                  <w:rPr>
                                    <w:color w:val="5B9BD5" w:themeColor="accent1"/>
                                    <w:sz w:val="44"/>
                                    <w:szCs w:val="44"/>
                                  </w:rPr>
                                  <w:t>Room Amenities</w:t>
                                </w:r>
                                <w:r w:rsidR="00866B0B">
                                  <w:rPr>
                                    <w:color w:val="5B9BD5" w:themeColor="accent1"/>
                                    <w:sz w:val="44"/>
                                    <w:szCs w:val="44"/>
                                  </w:rPr>
                                  <w:t xml:space="preserve">  </w:t>
                                </w:r>
                              </w:p>
                              <w:p w14:paraId="05EFA8B0" w14:textId="29064F8D" w:rsidR="00D72C9A" w:rsidRPr="008A7C84" w:rsidRDefault="00D72C9A" w:rsidP="00E96538">
                                <w:pPr>
                                  <w:pStyle w:val="NoSpacing"/>
                                  <w:jc w:val="right"/>
                                  <w:rPr>
                                    <w:color w:val="5B9BD5" w:themeColor="accent1"/>
                                    <w:sz w:val="44"/>
                                    <w:szCs w:val="44"/>
                                  </w:rPr>
                                </w:pPr>
                                <w:r w:rsidRPr="008A7C84">
                                  <w:rPr>
                                    <w:color w:val="5B9BD5" w:themeColor="accent1"/>
                                    <w:sz w:val="48"/>
                                    <w:szCs w:val="48"/>
                                  </w:rPr>
                                  <w:t>RFP #</w:t>
                                </w:r>
                                <w:r w:rsidR="00866B0B">
                                  <w:rPr>
                                    <w:color w:val="5B9BD5" w:themeColor="accent1"/>
                                    <w:sz w:val="44"/>
                                    <w:szCs w:val="44"/>
                                  </w:rPr>
                                  <w:t>SGC-0022-24MC</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FCB370" id="_x0000_s1028"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Lf4v2s0AgAAYgQAAA4AAAAAAAAAAAAA&#10;AAAALgIAAGRycy9lMm9Eb2MueG1sUEsBAi0AFAAGAAgAAAAhADMgPKbgAAAADAEAAA8AAAAAAAAA&#10;AAAAAAAAjgQAAGRycy9kb3ducmV2LnhtbFBLBQYAAAAABAAEAPMAAACbBQAAAAA=&#10;" filled="f" stroked="f" strokeweight=".5pt">
                    <v:textbox inset="126pt,0,54pt,0">
                      <w:txbxContent>
                        <w:p w14:paraId="412A118A" w14:textId="16F9FF82" w:rsidR="00D72C9A" w:rsidRPr="008A7C84" w:rsidRDefault="00D72C9A" w:rsidP="001363D7">
                          <w:pPr>
                            <w:pStyle w:val="NoSpacing"/>
                            <w:ind w:left="-2250"/>
                            <w:rPr>
                              <w:color w:val="5B9BD5" w:themeColor="accent1"/>
                              <w:sz w:val="48"/>
                              <w:szCs w:val="48"/>
                              <w:highlight w:val="blue"/>
                            </w:rPr>
                          </w:pPr>
                          <w:r>
                            <w:rPr>
                              <w:color w:val="595959" w:themeColor="text1" w:themeTint="A6"/>
                              <w:sz w:val="44"/>
                              <w:szCs w:val="44"/>
                            </w:rPr>
                            <w:t xml:space="preserve">                                                </w:t>
                          </w:r>
                          <w:r w:rsidR="008A7C84">
                            <w:rPr>
                              <w:color w:val="5B9BD5" w:themeColor="accent1"/>
                              <w:sz w:val="44"/>
                              <w:szCs w:val="44"/>
                            </w:rPr>
                            <w:t xml:space="preserve">Hotel </w:t>
                          </w:r>
                          <w:r w:rsidR="00285EEC">
                            <w:rPr>
                              <w:color w:val="5B9BD5" w:themeColor="accent1"/>
                              <w:sz w:val="44"/>
                              <w:szCs w:val="44"/>
                            </w:rPr>
                            <w:t xml:space="preserve">Guest </w:t>
                          </w:r>
                          <w:r w:rsidR="008A7C84">
                            <w:rPr>
                              <w:color w:val="5B9BD5" w:themeColor="accent1"/>
                              <w:sz w:val="44"/>
                              <w:szCs w:val="44"/>
                            </w:rPr>
                            <w:t>Room Amenities</w:t>
                          </w:r>
                          <w:r w:rsidR="00866B0B">
                            <w:rPr>
                              <w:color w:val="5B9BD5" w:themeColor="accent1"/>
                              <w:sz w:val="44"/>
                              <w:szCs w:val="44"/>
                            </w:rPr>
                            <w:t xml:space="preserve">  </w:t>
                          </w:r>
                        </w:p>
                        <w:p w14:paraId="05EFA8B0" w14:textId="29064F8D" w:rsidR="00D72C9A" w:rsidRPr="008A7C84" w:rsidRDefault="00D72C9A" w:rsidP="00E96538">
                          <w:pPr>
                            <w:pStyle w:val="NoSpacing"/>
                            <w:jc w:val="right"/>
                            <w:rPr>
                              <w:color w:val="5B9BD5" w:themeColor="accent1"/>
                              <w:sz w:val="44"/>
                              <w:szCs w:val="44"/>
                            </w:rPr>
                          </w:pPr>
                          <w:r w:rsidRPr="008A7C84">
                            <w:rPr>
                              <w:color w:val="5B9BD5" w:themeColor="accent1"/>
                              <w:sz w:val="48"/>
                              <w:szCs w:val="48"/>
                            </w:rPr>
                            <w:t>RFP #</w:t>
                          </w:r>
                          <w:r w:rsidR="00866B0B">
                            <w:rPr>
                              <w:color w:val="5B9BD5" w:themeColor="accent1"/>
                              <w:sz w:val="44"/>
                              <w:szCs w:val="44"/>
                            </w:rPr>
                            <w:t>SGC-0022-24MC</w:t>
                          </w:r>
                        </w:p>
                      </w:txbxContent>
                    </v:textbox>
                    <w10:wrap type="square" anchorx="page" anchory="page"/>
                  </v:shape>
                </w:pict>
              </mc:Fallback>
            </mc:AlternateContent>
          </w:r>
          <w:r w:rsidR="00E96538" w:rsidRPr="00CC44E0">
            <w:rPr>
              <w:noProof/>
            </w:rPr>
            <w:drawing>
              <wp:inline distT="0" distB="0" distL="0" distR="0" wp14:anchorId="538E7A32" wp14:editId="1BF2C49B">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00E96538" w:rsidRPr="003E48CF">
            <w:rPr>
              <w:noProof/>
            </w:rPr>
            <mc:AlternateContent>
              <mc:Choice Requires="wps">
                <w:drawing>
                  <wp:anchor distT="0" distB="0" distL="114300" distR="114300" simplePos="0" relativeHeight="251664384" behindDoc="0" locked="0" layoutInCell="1" allowOverlap="1" wp14:anchorId="4B6D2C20" wp14:editId="1111B63F">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3550A34F"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6D2C20" id="Text Box 153" o:spid="_x0000_s1029"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KT7+3U5AgAAZQQAAA4AAAAA&#10;AAAAAAAAAAAALgIAAGRycy9lMm9Eb2MueG1sUEsBAi0AFAAGAAgAAAAhAEM++gnhAAAADQEAAA8A&#10;AAAAAAAAAAAAAAAAkwQAAGRycy9kb3ducmV2LnhtbFBLBQYAAAAABAAEAPMAAAChBQAAAAA=&#10;" filled="f" stroked="f" strokeweight=".5pt">
                    <v:textbox inset="126pt,0,54pt,0">
                      <w:txbxContent>
                        <w:p w14:paraId="3550A34F"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00E96538">
            <w:rPr>
              <w:noProof/>
            </w:rPr>
            <mc:AlternateContent>
              <mc:Choice Requires="wps">
                <w:drawing>
                  <wp:anchor distT="0" distB="0" distL="114300" distR="114300" simplePos="0" relativeHeight="251659264" behindDoc="0" locked="0" layoutInCell="1" allowOverlap="1" wp14:anchorId="2558DBB8" wp14:editId="5CF1E92D">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E7F56" w14:textId="77777777" w:rsidR="00D72C9A" w:rsidRDefault="009F707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63D7C661"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558DBB8"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52E7F56" w14:textId="77777777" w:rsidR="00D72C9A" w:rsidRDefault="009F707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63D7C661"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00E96538">
            <w:rPr>
              <w:noProof/>
            </w:rPr>
            <mc:AlternateContent>
              <mc:Choice Requires="wpg">
                <w:drawing>
                  <wp:anchor distT="0" distB="0" distL="114300" distR="114300" simplePos="0" relativeHeight="251663360" behindDoc="0" locked="0" layoutInCell="1" allowOverlap="1" wp14:anchorId="478B3A30" wp14:editId="43443148">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rsidR="00E96538">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04AE71E" w14:textId="77777777" w:rsidR="00E96538" w:rsidRDefault="00E96538" w:rsidP="00E96538">
          <w:pPr>
            <w:pStyle w:val="TOCHeading"/>
          </w:pPr>
          <w:r>
            <w:t>Table of Contents</w:t>
          </w:r>
        </w:p>
        <w:p w14:paraId="7EE12CD2" w14:textId="1236BD09" w:rsidR="005A3D6B"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60094248" w:history="1">
            <w:r w:rsidR="005A3D6B" w:rsidRPr="00B136FB">
              <w:rPr>
                <w:rStyle w:val="Hyperlink"/>
                <w:noProof/>
              </w:rPr>
              <w:t>I.</w:t>
            </w:r>
            <w:r w:rsidR="005A3D6B">
              <w:rPr>
                <w:rFonts w:eastAsiaTheme="minorEastAsia"/>
                <w:noProof/>
              </w:rPr>
              <w:tab/>
            </w:r>
            <w:r w:rsidR="005A3D6B" w:rsidRPr="00B136FB">
              <w:rPr>
                <w:rStyle w:val="Hyperlink"/>
                <w:noProof/>
              </w:rPr>
              <w:t>Introduction</w:t>
            </w:r>
            <w:r w:rsidR="005A3D6B">
              <w:rPr>
                <w:noProof/>
                <w:webHidden/>
              </w:rPr>
              <w:tab/>
            </w:r>
            <w:r w:rsidR="005A3D6B">
              <w:rPr>
                <w:noProof/>
                <w:webHidden/>
              </w:rPr>
              <w:fldChar w:fldCharType="begin"/>
            </w:r>
            <w:r w:rsidR="005A3D6B">
              <w:rPr>
                <w:noProof/>
                <w:webHidden/>
              </w:rPr>
              <w:instrText xml:space="preserve"> PAGEREF _Toc160094248 \h </w:instrText>
            </w:r>
            <w:r w:rsidR="005A3D6B">
              <w:rPr>
                <w:noProof/>
                <w:webHidden/>
              </w:rPr>
            </w:r>
            <w:r w:rsidR="005A3D6B">
              <w:rPr>
                <w:noProof/>
                <w:webHidden/>
              </w:rPr>
              <w:fldChar w:fldCharType="separate"/>
            </w:r>
            <w:r w:rsidR="005A3D6B">
              <w:rPr>
                <w:noProof/>
                <w:webHidden/>
              </w:rPr>
              <w:t>2</w:t>
            </w:r>
            <w:r w:rsidR="005A3D6B">
              <w:rPr>
                <w:noProof/>
                <w:webHidden/>
              </w:rPr>
              <w:fldChar w:fldCharType="end"/>
            </w:r>
          </w:hyperlink>
        </w:p>
        <w:p w14:paraId="1F81758B" w14:textId="72EF99D2" w:rsidR="005A3D6B" w:rsidRDefault="009F707B">
          <w:pPr>
            <w:pStyle w:val="TOC1"/>
            <w:tabs>
              <w:tab w:val="left" w:pos="440"/>
              <w:tab w:val="right" w:leader="dot" w:pos="9350"/>
            </w:tabs>
            <w:rPr>
              <w:rFonts w:eastAsiaTheme="minorEastAsia"/>
              <w:noProof/>
            </w:rPr>
          </w:pPr>
          <w:hyperlink w:anchor="_Toc160094249" w:history="1">
            <w:r w:rsidR="005A3D6B" w:rsidRPr="00B136FB">
              <w:rPr>
                <w:rStyle w:val="Hyperlink"/>
                <w:noProof/>
              </w:rPr>
              <w:t>II.</w:t>
            </w:r>
            <w:r w:rsidR="005A3D6B">
              <w:rPr>
                <w:rFonts w:eastAsiaTheme="minorEastAsia"/>
                <w:noProof/>
              </w:rPr>
              <w:tab/>
            </w:r>
            <w:r w:rsidR="005A3D6B" w:rsidRPr="00B136FB">
              <w:rPr>
                <w:rStyle w:val="Hyperlink"/>
                <w:noProof/>
              </w:rPr>
              <w:t>RFP Objective</w:t>
            </w:r>
            <w:r w:rsidR="005A3D6B">
              <w:rPr>
                <w:noProof/>
                <w:webHidden/>
              </w:rPr>
              <w:tab/>
            </w:r>
            <w:r w:rsidR="005A3D6B">
              <w:rPr>
                <w:noProof/>
                <w:webHidden/>
              </w:rPr>
              <w:fldChar w:fldCharType="begin"/>
            </w:r>
            <w:r w:rsidR="005A3D6B">
              <w:rPr>
                <w:noProof/>
                <w:webHidden/>
              </w:rPr>
              <w:instrText xml:space="preserve"> PAGEREF _Toc160094249 \h </w:instrText>
            </w:r>
            <w:r w:rsidR="005A3D6B">
              <w:rPr>
                <w:noProof/>
                <w:webHidden/>
              </w:rPr>
            </w:r>
            <w:r w:rsidR="005A3D6B">
              <w:rPr>
                <w:noProof/>
                <w:webHidden/>
              </w:rPr>
              <w:fldChar w:fldCharType="separate"/>
            </w:r>
            <w:r w:rsidR="005A3D6B">
              <w:rPr>
                <w:noProof/>
                <w:webHidden/>
              </w:rPr>
              <w:t>2</w:t>
            </w:r>
            <w:r w:rsidR="005A3D6B">
              <w:rPr>
                <w:noProof/>
                <w:webHidden/>
              </w:rPr>
              <w:fldChar w:fldCharType="end"/>
            </w:r>
          </w:hyperlink>
        </w:p>
        <w:p w14:paraId="448715B6" w14:textId="6FA21AA7" w:rsidR="005A3D6B" w:rsidRDefault="009F707B">
          <w:pPr>
            <w:pStyle w:val="TOC1"/>
            <w:tabs>
              <w:tab w:val="left" w:pos="660"/>
              <w:tab w:val="right" w:leader="dot" w:pos="9350"/>
            </w:tabs>
            <w:rPr>
              <w:rFonts w:eastAsiaTheme="minorEastAsia"/>
              <w:noProof/>
            </w:rPr>
          </w:pPr>
          <w:hyperlink w:anchor="_Toc160094250" w:history="1">
            <w:r w:rsidR="005A3D6B" w:rsidRPr="00B136FB">
              <w:rPr>
                <w:rStyle w:val="Hyperlink"/>
                <w:noProof/>
              </w:rPr>
              <w:t>III.</w:t>
            </w:r>
            <w:r w:rsidR="005A3D6B">
              <w:rPr>
                <w:rFonts w:eastAsiaTheme="minorEastAsia"/>
                <w:noProof/>
              </w:rPr>
              <w:tab/>
            </w:r>
            <w:r w:rsidR="005A3D6B" w:rsidRPr="00B136FB">
              <w:rPr>
                <w:rStyle w:val="Hyperlink"/>
                <w:noProof/>
              </w:rPr>
              <w:t>RFP Administrative Information</w:t>
            </w:r>
            <w:r w:rsidR="005A3D6B">
              <w:rPr>
                <w:noProof/>
                <w:webHidden/>
              </w:rPr>
              <w:tab/>
            </w:r>
            <w:r w:rsidR="005A3D6B">
              <w:rPr>
                <w:noProof/>
                <w:webHidden/>
              </w:rPr>
              <w:fldChar w:fldCharType="begin"/>
            </w:r>
            <w:r w:rsidR="005A3D6B">
              <w:rPr>
                <w:noProof/>
                <w:webHidden/>
              </w:rPr>
              <w:instrText xml:space="preserve"> PAGEREF _Toc160094250 \h </w:instrText>
            </w:r>
            <w:r w:rsidR="005A3D6B">
              <w:rPr>
                <w:noProof/>
                <w:webHidden/>
              </w:rPr>
            </w:r>
            <w:r w:rsidR="005A3D6B">
              <w:rPr>
                <w:noProof/>
                <w:webHidden/>
              </w:rPr>
              <w:fldChar w:fldCharType="separate"/>
            </w:r>
            <w:r w:rsidR="005A3D6B">
              <w:rPr>
                <w:noProof/>
                <w:webHidden/>
              </w:rPr>
              <w:t>2</w:t>
            </w:r>
            <w:r w:rsidR="005A3D6B">
              <w:rPr>
                <w:noProof/>
                <w:webHidden/>
              </w:rPr>
              <w:fldChar w:fldCharType="end"/>
            </w:r>
          </w:hyperlink>
        </w:p>
        <w:p w14:paraId="0D58B426" w14:textId="65B33498" w:rsidR="005A3D6B" w:rsidRDefault="009F707B">
          <w:pPr>
            <w:pStyle w:val="TOC2"/>
            <w:tabs>
              <w:tab w:val="left" w:pos="660"/>
              <w:tab w:val="right" w:leader="dot" w:pos="9350"/>
            </w:tabs>
            <w:rPr>
              <w:rFonts w:eastAsiaTheme="minorEastAsia"/>
              <w:noProof/>
            </w:rPr>
          </w:pPr>
          <w:hyperlink w:anchor="_Toc160094251" w:history="1">
            <w:r w:rsidR="005A3D6B" w:rsidRPr="00B136FB">
              <w:rPr>
                <w:rStyle w:val="Hyperlink"/>
                <w:noProof/>
              </w:rPr>
              <w:t>A.</w:t>
            </w:r>
            <w:r w:rsidR="005A3D6B">
              <w:rPr>
                <w:rFonts w:eastAsiaTheme="minorEastAsia"/>
                <w:noProof/>
              </w:rPr>
              <w:tab/>
            </w:r>
            <w:r w:rsidR="005A3D6B" w:rsidRPr="00B136FB">
              <w:rPr>
                <w:rStyle w:val="Hyperlink"/>
                <w:noProof/>
              </w:rPr>
              <w:t>Contact Information</w:t>
            </w:r>
            <w:r w:rsidR="005A3D6B">
              <w:rPr>
                <w:noProof/>
                <w:webHidden/>
              </w:rPr>
              <w:tab/>
            </w:r>
            <w:r w:rsidR="005A3D6B">
              <w:rPr>
                <w:noProof/>
                <w:webHidden/>
              </w:rPr>
              <w:fldChar w:fldCharType="begin"/>
            </w:r>
            <w:r w:rsidR="005A3D6B">
              <w:rPr>
                <w:noProof/>
                <w:webHidden/>
              </w:rPr>
              <w:instrText xml:space="preserve"> PAGEREF _Toc160094251 \h </w:instrText>
            </w:r>
            <w:r w:rsidR="005A3D6B">
              <w:rPr>
                <w:noProof/>
                <w:webHidden/>
              </w:rPr>
            </w:r>
            <w:r w:rsidR="005A3D6B">
              <w:rPr>
                <w:noProof/>
                <w:webHidden/>
              </w:rPr>
              <w:fldChar w:fldCharType="separate"/>
            </w:r>
            <w:r w:rsidR="005A3D6B">
              <w:rPr>
                <w:noProof/>
                <w:webHidden/>
              </w:rPr>
              <w:t>2</w:t>
            </w:r>
            <w:r w:rsidR="005A3D6B">
              <w:rPr>
                <w:noProof/>
                <w:webHidden/>
              </w:rPr>
              <w:fldChar w:fldCharType="end"/>
            </w:r>
          </w:hyperlink>
        </w:p>
        <w:p w14:paraId="1F03BECB" w14:textId="3A62D20A" w:rsidR="005A3D6B" w:rsidRDefault="009F707B">
          <w:pPr>
            <w:pStyle w:val="TOC2"/>
            <w:tabs>
              <w:tab w:val="left" w:pos="660"/>
              <w:tab w:val="right" w:leader="dot" w:pos="9350"/>
            </w:tabs>
            <w:rPr>
              <w:rFonts w:eastAsiaTheme="minorEastAsia"/>
              <w:noProof/>
            </w:rPr>
          </w:pPr>
          <w:hyperlink w:anchor="_Toc160094252" w:history="1">
            <w:r w:rsidR="005A3D6B" w:rsidRPr="00B136FB">
              <w:rPr>
                <w:rStyle w:val="Hyperlink"/>
                <w:noProof/>
              </w:rPr>
              <w:t>B.</w:t>
            </w:r>
            <w:r w:rsidR="005A3D6B">
              <w:rPr>
                <w:rFonts w:eastAsiaTheme="minorEastAsia"/>
                <w:noProof/>
              </w:rPr>
              <w:tab/>
            </w:r>
            <w:r w:rsidR="005A3D6B" w:rsidRPr="00B136FB">
              <w:rPr>
                <w:rStyle w:val="Hyperlink"/>
                <w:noProof/>
              </w:rPr>
              <w:t>Schedule of Events</w:t>
            </w:r>
            <w:r w:rsidR="005A3D6B">
              <w:rPr>
                <w:noProof/>
                <w:webHidden/>
              </w:rPr>
              <w:tab/>
            </w:r>
            <w:r w:rsidR="005A3D6B">
              <w:rPr>
                <w:noProof/>
                <w:webHidden/>
              </w:rPr>
              <w:fldChar w:fldCharType="begin"/>
            </w:r>
            <w:r w:rsidR="005A3D6B">
              <w:rPr>
                <w:noProof/>
                <w:webHidden/>
              </w:rPr>
              <w:instrText xml:space="preserve"> PAGEREF _Toc160094252 \h </w:instrText>
            </w:r>
            <w:r w:rsidR="005A3D6B">
              <w:rPr>
                <w:noProof/>
                <w:webHidden/>
              </w:rPr>
            </w:r>
            <w:r w:rsidR="005A3D6B">
              <w:rPr>
                <w:noProof/>
                <w:webHidden/>
              </w:rPr>
              <w:fldChar w:fldCharType="separate"/>
            </w:r>
            <w:r w:rsidR="005A3D6B">
              <w:rPr>
                <w:noProof/>
                <w:webHidden/>
              </w:rPr>
              <w:t>2</w:t>
            </w:r>
            <w:r w:rsidR="005A3D6B">
              <w:rPr>
                <w:noProof/>
                <w:webHidden/>
              </w:rPr>
              <w:fldChar w:fldCharType="end"/>
            </w:r>
          </w:hyperlink>
        </w:p>
        <w:p w14:paraId="6DBB32EE" w14:textId="45061680" w:rsidR="005A3D6B" w:rsidRDefault="009F707B">
          <w:pPr>
            <w:pStyle w:val="TOC2"/>
            <w:tabs>
              <w:tab w:val="left" w:pos="660"/>
              <w:tab w:val="right" w:leader="dot" w:pos="9350"/>
            </w:tabs>
            <w:rPr>
              <w:rFonts w:eastAsiaTheme="minorEastAsia"/>
              <w:noProof/>
            </w:rPr>
          </w:pPr>
          <w:hyperlink w:anchor="_Toc160094253" w:history="1">
            <w:r w:rsidR="005A3D6B" w:rsidRPr="00B136FB">
              <w:rPr>
                <w:rStyle w:val="Hyperlink"/>
                <w:rFonts w:eastAsia="Times New Roman"/>
                <w:noProof/>
              </w:rPr>
              <w:t>C.</w:t>
            </w:r>
            <w:r w:rsidR="005A3D6B">
              <w:rPr>
                <w:rFonts w:eastAsiaTheme="minorEastAsia"/>
                <w:noProof/>
              </w:rPr>
              <w:tab/>
            </w:r>
            <w:r w:rsidR="005A3D6B" w:rsidRPr="00B136FB">
              <w:rPr>
                <w:rStyle w:val="Hyperlink"/>
                <w:rFonts w:eastAsia="Times New Roman"/>
                <w:noProof/>
              </w:rPr>
              <w:t>Intent to Bid</w:t>
            </w:r>
            <w:r w:rsidR="005A3D6B">
              <w:rPr>
                <w:noProof/>
                <w:webHidden/>
              </w:rPr>
              <w:tab/>
            </w:r>
            <w:r w:rsidR="005A3D6B">
              <w:rPr>
                <w:noProof/>
                <w:webHidden/>
              </w:rPr>
              <w:fldChar w:fldCharType="begin"/>
            </w:r>
            <w:r w:rsidR="005A3D6B">
              <w:rPr>
                <w:noProof/>
                <w:webHidden/>
              </w:rPr>
              <w:instrText xml:space="preserve"> PAGEREF _Toc160094253 \h </w:instrText>
            </w:r>
            <w:r w:rsidR="005A3D6B">
              <w:rPr>
                <w:noProof/>
                <w:webHidden/>
              </w:rPr>
            </w:r>
            <w:r w:rsidR="005A3D6B">
              <w:rPr>
                <w:noProof/>
                <w:webHidden/>
              </w:rPr>
              <w:fldChar w:fldCharType="separate"/>
            </w:r>
            <w:r w:rsidR="005A3D6B">
              <w:rPr>
                <w:noProof/>
                <w:webHidden/>
              </w:rPr>
              <w:t>2</w:t>
            </w:r>
            <w:r w:rsidR="005A3D6B">
              <w:rPr>
                <w:noProof/>
                <w:webHidden/>
              </w:rPr>
              <w:fldChar w:fldCharType="end"/>
            </w:r>
          </w:hyperlink>
        </w:p>
        <w:p w14:paraId="419DD5B6" w14:textId="53D070D5" w:rsidR="005A3D6B" w:rsidRDefault="009F707B">
          <w:pPr>
            <w:pStyle w:val="TOC2"/>
            <w:tabs>
              <w:tab w:val="left" w:pos="660"/>
              <w:tab w:val="right" w:leader="dot" w:pos="9350"/>
            </w:tabs>
            <w:rPr>
              <w:rFonts w:eastAsiaTheme="minorEastAsia"/>
              <w:noProof/>
            </w:rPr>
          </w:pPr>
          <w:hyperlink w:anchor="_Toc160094254" w:history="1">
            <w:r w:rsidR="005A3D6B" w:rsidRPr="00B136FB">
              <w:rPr>
                <w:rStyle w:val="Hyperlink"/>
                <w:rFonts w:eastAsia="Times New Roman"/>
                <w:noProof/>
              </w:rPr>
              <w:t>D.</w:t>
            </w:r>
            <w:r w:rsidR="005A3D6B">
              <w:rPr>
                <w:rFonts w:eastAsiaTheme="minorEastAsia"/>
                <w:noProof/>
              </w:rPr>
              <w:tab/>
            </w:r>
            <w:r w:rsidR="005A3D6B" w:rsidRPr="00B136FB">
              <w:rPr>
                <w:rStyle w:val="Hyperlink"/>
                <w:rFonts w:eastAsia="Times New Roman"/>
                <w:noProof/>
              </w:rPr>
              <w:t>Bidder Questions</w:t>
            </w:r>
            <w:r w:rsidR="005A3D6B">
              <w:rPr>
                <w:noProof/>
                <w:webHidden/>
              </w:rPr>
              <w:tab/>
            </w:r>
            <w:r w:rsidR="005A3D6B">
              <w:rPr>
                <w:noProof/>
                <w:webHidden/>
              </w:rPr>
              <w:fldChar w:fldCharType="begin"/>
            </w:r>
            <w:r w:rsidR="005A3D6B">
              <w:rPr>
                <w:noProof/>
                <w:webHidden/>
              </w:rPr>
              <w:instrText xml:space="preserve"> PAGEREF _Toc160094254 \h </w:instrText>
            </w:r>
            <w:r w:rsidR="005A3D6B">
              <w:rPr>
                <w:noProof/>
                <w:webHidden/>
              </w:rPr>
            </w:r>
            <w:r w:rsidR="005A3D6B">
              <w:rPr>
                <w:noProof/>
                <w:webHidden/>
              </w:rPr>
              <w:fldChar w:fldCharType="separate"/>
            </w:r>
            <w:r w:rsidR="005A3D6B">
              <w:rPr>
                <w:noProof/>
                <w:webHidden/>
              </w:rPr>
              <w:t>3</w:t>
            </w:r>
            <w:r w:rsidR="005A3D6B">
              <w:rPr>
                <w:noProof/>
                <w:webHidden/>
              </w:rPr>
              <w:fldChar w:fldCharType="end"/>
            </w:r>
          </w:hyperlink>
        </w:p>
        <w:p w14:paraId="5F1C8DB1" w14:textId="46B14934" w:rsidR="005A3D6B" w:rsidRDefault="009F707B">
          <w:pPr>
            <w:pStyle w:val="TOC2"/>
            <w:tabs>
              <w:tab w:val="left" w:pos="660"/>
              <w:tab w:val="right" w:leader="dot" w:pos="9350"/>
            </w:tabs>
            <w:rPr>
              <w:rFonts w:eastAsiaTheme="minorEastAsia"/>
              <w:noProof/>
            </w:rPr>
          </w:pPr>
          <w:hyperlink w:anchor="_Toc160094255" w:history="1">
            <w:r w:rsidR="005A3D6B" w:rsidRPr="00B136FB">
              <w:rPr>
                <w:rStyle w:val="Hyperlink"/>
                <w:rFonts w:eastAsia="Times New Roman"/>
                <w:noProof/>
              </w:rPr>
              <w:t>E.</w:t>
            </w:r>
            <w:r w:rsidR="005A3D6B">
              <w:rPr>
                <w:rFonts w:eastAsiaTheme="minorEastAsia"/>
                <w:noProof/>
              </w:rPr>
              <w:tab/>
            </w:r>
            <w:r w:rsidR="005A3D6B" w:rsidRPr="00B136FB">
              <w:rPr>
                <w:rStyle w:val="Hyperlink"/>
                <w:rFonts w:eastAsia="Times New Roman"/>
                <w:noProof/>
              </w:rPr>
              <w:t>Submission of Proposals</w:t>
            </w:r>
            <w:r w:rsidR="005A3D6B">
              <w:rPr>
                <w:noProof/>
                <w:webHidden/>
              </w:rPr>
              <w:tab/>
            </w:r>
            <w:r w:rsidR="005A3D6B">
              <w:rPr>
                <w:noProof/>
                <w:webHidden/>
              </w:rPr>
              <w:fldChar w:fldCharType="begin"/>
            </w:r>
            <w:r w:rsidR="005A3D6B">
              <w:rPr>
                <w:noProof/>
                <w:webHidden/>
              </w:rPr>
              <w:instrText xml:space="preserve"> PAGEREF _Toc160094255 \h </w:instrText>
            </w:r>
            <w:r w:rsidR="005A3D6B">
              <w:rPr>
                <w:noProof/>
                <w:webHidden/>
              </w:rPr>
            </w:r>
            <w:r w:rsidR="005A3D6B">
              <w:rPr>
                <w:noProof/>
                <w:webHidden/>
              </w:rPr>
              <w:fldChar w:fldCharType="separate"/>
            </w:r>
            <w:r w:rsidR="005A3D6B">
              <w:rPr>
                <w:noProof/>
                <w:webHidden/>
              </w:rPr>
              <w:t>3</w:t>
            </w:r>
            <w:r w:rsidR="005A3D6B">
              <w:rPr>
                <w:noProof/>
                <w:webHidden/>
              </w:rPr>
              <w:fldChar w:fldCharType="end"/>
            </w:r>
          </w:hyperlink>
        </w:p>
        <w:p w14:paraId="6574B2B0" w14:textId="2F4CE1AD" w:rsidR="005A3D6B" w:rsidRDefault="009F707B">
          <w:pPr>
            <w:pStyle w:val="TOC2"/>
            <w:tabs>
              <w:tab w:val="left" w:pos="660"/>
              <w:tab w:val="right" w:leader="dot" w:pos="9350"/>
            </w:tabs>
            <w:rPr>
              <w:rFonts w:eastAsiaTheme="minorEastAsia"/>
              <w:noProof/>
            </w:rPr>
          </w:pPr>
          <w:hyperlink w:anchor="_Toc160094256" w:history="1">
            <w:r w:rsidR="005A3D6B" w:rsidRPr="00B136FB">
              <w:rPr>
                <w:rStyle w:val="Hyperlink"/>
                <w:noProof/>
              </w:rPr>
              <w:t>F.</w:t>
            </w:r>
            <w:r w:rsidR="005A3D6B">
              <w:rPr>
                <w:rFonts w:eastAsiaTheme="minorEastAsia"/>
                <w:noProof/>
              </w:rPr>
              <w:tab/>
            </w:r>
            <w:r w:rsidR="005A3D6B" w:rsidRPr="00B136FB">
              <w:rPr>
                <w:rStyle w:val="Hyperlink"/>
                <w:noProof/>
              </w:rPr>
              <w:t>Bidder Representations and Certifications</w:t>
            </w:r>
            <w:r w:rsidR="005A3D6B">
              <w:rPr>
                <w:noProof/>
                <w:webHidden/>
              </w:rPr>
              <w:tab/>
            </w:r>
            <w:r w:rsidR="005A3D6B">
              <w:rPr>
                <w:noProof/>
                <w:webHidden/>
              </w:rPr>
              <w:fldChar w:fldCharType="begin"/>
            </w:r>
            <w:r w:rsidR="005A3D6B">
              <w:rPr>
                <w:noProof/>
                <w:webHidden/>
              </w:rPr>
              <w:instrText xml:space="preserve"> PAGEREF _Toc160094256 \h </w:instrText>
            </w:r>
            <w:r w:rsidR="005A3D6B">
              <w:rPr>
                <w:noProof/>
                <w:webHidden/>
              </w:rPr>
            </w:r>
            <w:r w:rsidR="005A3D6B">
              <w:rPr>
                <w:noProof/>
                <w:webHidden/>
              </w:rPr>
              <w:fldChar w:fldCharType="separate"/>
            </w:r>
            <w:r w:rsidR="005A3D6B">
              <w:rPr>
                <w:noProof/>
                <w:webHidden/>
              </w:rPr>
              <w:t>3</w:t>
            </w:r>
            <w:r w:rsidR="005A3D6B">
              <w:rPr>
                <w:noProof/>
                <w:webHidden/>
              </w:rPr>
              <w:fldChar w:fldCharType="end"/>
            </w:r>
          </w:hyperlink>
        </w:p>
        <w:p w14:paraId="48F7FFA6" w14:textId="732B4345" w:rsidR="005A3D6B" w:rsidRDefault="009F707B">
          <w:pPr>
            <w:pStyle w:val="TOC2"/>
            <w:tabs>
              <w:tab w:val="left" w:pos="660"/>
              <w:tab w:val="right" w:leader="dot" w:pos="9350"/>
            </w:tabs>
            <w:rPr>
              <w:rFonts w:eastAsiaTheme="minorEastAsia"/>
              <w:noProof/>
            </w:rPr>
          </w:pPr>
          <w:hyperlink w:anchor="_Toc160094257" w:history="1">
            <w:r w:rsidR="005A3D6B" w:rsidRPr="00B136FB">
              <w:rPr>
                <w:rStyle w:val="Hyperlink"/>
                <w:noProof/>
              </w:rPr>
              <w:t>G.</w:t>
            </w:r>
            <w:r w:rsidR="005A3D6B">
              <w:rPr>
                <w:rFonts w:eastAsiaTheme="minorEastAsia"/>
                <w:noProof/>
              </w:rPr>
              <w:tab/>
            </w:r>
            <w:r w:rsidR="005A3D6B" w:rsidRPr="00B136FB">
              <w:rPr>
                <w:rStyle w:val="Hyperlink"/>
                <w:noProof/>
              </w:rPr>
              <w:t>Evidence of Insurance</w:t>
            </w:r>
            <w:r w:rsidR="005A3D6B">
              <w:rPr>
                <w:noProof/>
                <w:webHidden/>
              </w:rPr>
              <w:tab/>
            </w:r>
            <w:r w:rsidR="005A3D6B">
              <w:rPr>
                <w:noProof/>
                <w:webHidden/>
              </w:rPr>
              <w:fldChar w:fldCharType="begin"/>
            </w:r>
            <w:r w:rsidR="005A3D6B">
              <w:rPr>
                <w:noProof/>
                <w:webHidden/>
              </w:rPr>
              <w:instrText xml:space="preserve"> PAGEREF _Toc160094257 \h </w:instrText>
            </w:r>
            <w:r w:rsidR="005A3D6B">
              <w:rPr>
                <w:noProof/>
                <w:webHidden/>
              </w:rPr>
            </w:r>
            <w:r w:rsidR="005A3D6B">
              <w:rPr>
                <w:noProof/>
                <w:webHidden/>
              </w:rPr>
              <w:fldChar w:fldCharType="separate"/>
            </w:r>
            <w:r w:rsidR="005A3D6B">
              <w:rPr>
                <w:noProof/>
                <w:webHidden/>
              </w:rPr>
              <w:t>3</w:t>
            </w:r>
            <w:r w:rsidR="005A3D6B">
              <w:rPr>
                <w:noProof/>
                <w:webHidden/>
              </w:rPr>
              <w:fldChar w:fldCharType="end"/>
            </w:r>
          </w:hyperlink>
        </w:p>
        <w:p w14:paraId="6D176ADA" w14:textId="75A58703" w:rsidR="005A3D6B" w:rsidRDefault="009F707B">
          <w:pPr>
            <w:pStyle w:val="TOC2"/>
            <w:tabs>
              <w:tab w:val="left" w:pos="660"/>
              <w:tab w:val="right" w:leader="dot" w:pos="9350"/>
            </w:tabs>
            <w:rPr>
              <w:rFonts w:eastAsiaTheme="minorEastAsia"/>
              <w:noProof/>
            </w:rPr>
          </w:pPr>
          <w:hyperlink w:anchor="_Toc160094258" w:history="1">
            <w:r w:rsidR="005A3D6B" w:rsidRPr="00B136FB">
              <w:rPr>
                <w:rStyle w:val="Hyperlink"/>
                <w:rFonts w:eastAsia="Times New Roman"/>
                <w:noProof/>
              </w:rPr>
              <w:t>H.</w:t>
            </w:r>
            <w:r w:rsidR="005A3D6B">
              <w:rPr>
                <w:rFonts w:eastAsiaTheme="minorEastAsia"/>
                <w:noProof/>
              </w:rPr>
              <w:tab/>
            </w:r>
            <w:r w:rsidR="005A3D6B" w:rsidRPr="00B136FB">
              <w:rPr>
                <w:rStyle w:val="Hyperlink"/>
                <w:rFonts w:eastAsia="Times New Roman"/>
                <w:noProof/>
              </w:rPr>
              <w:t>Proposal Evaluation/Vendor Selection</w:t>
            </w:r>
            <w:r w:rsidR="005A3D6B">
              <w:rPr>
                <w:noProof/>
                <w:webHidden/>
              </w:rPr>
              <w:tab/>
            </w:r>
            <w:r w:rsidR="005A3D6B">
              <w:rPr>
                <w:noProof/>
                <w:webHidden/>
              </w:rPr>
              <w:fldChar w:fldCharType="begin"/>
            </w:r>
            <w:r w:rsidR="005A3D6B">
              <w:rPr>
                <w:noProof/>
                <w:webHidden/>
              </w:rPr>
              <w:instrText xml:space="preserve"> PAGEREF _Toc160094258 \h </w:instrText>
            </w:r>
            <w:r w:rsidR="005A3D6B">
              <w:rPr>
                <w:noProof/>
                <w:webHidden/>
              </w:rPr>
            </w:r>
            <w:r w:rsidR="005A3D6B">
              <w:rPr>
                <w:noProof/>
                <w:webHidden/>
              </w:rPr>
              <w:fldChar w:fldCharType="separate"/>
            </w:r>
            <w:r w:rsidR="005A3D6B">
              <w:rPr>
                <w:noProof/>
                <w:webHidden/>
              </w:rPr>
              <w:t>4</w:t>
            </w:r>
            <w:r w:rsidR="005A3D6B">
              <w:rPr>
                <w:noProof/>
                <w:webHidden/>
              </w:rPr>
              <w:fldChar w:fldCharType="end"/>
            </w:r>
          </w:hyperlink>
        </w:p>
        <w:p w14:paraId="366B2E73" w14:textId="5D8B2F6D" w:rsidR="005A3D6B" w:rsidRDefault="009F707B">
          <w:pPr>
            <w:pStyle w:val="TOC2"/>
            <w:tabs>
              <w:tab w:val="left" w:pos="660"/>
              <w:tab w:val="right" w:leader="dot" w:pos="9350"/>
            </w:tabs>
            <w:rPr>
              <w:rFonts w:eastAsiaTheme="minorEastAsia"/>
              <w:noProof/>
            </w:rPr>
          </w:pPr>
          <w:hyperlink w:anchor="_Toc160094259" w:history="1">
            <w:r w:rsidR="005A3D6B" w:rsidRPr="00B136FB">
              <w:rPr>
                <w:rStyle w:val="Hyperlink"/>
                <w:rFonts w:eastAsia="Times New Roman"/>
                <w:noProof/>
              </w:rPr>
              <w:t>I.</w:t>
            </w:r>
            <w:r w:rsidR="005A3D6B">
              <w:rPr>
                <w:rFonts w:eastAsiaTheme="minorEastAsia"/>
                <w:noProof/>
              </w:rPr>
              <w:tab/>
            </w:r>
            <w:r w:rsidR="005A3D6B" w:rsidRPr="00B136FB">
              <w:rPr>
                <w:rStyle w:val="Hyperlink"/>
                <w:rFonts w:eastAsia="Times New Roman"/>
                <w:noProof/>
              </w:rPr>
              <w:t>General Bidder Information</w:t>
            </w:r>
            <w:r w:rsidR="005A3D6B">
              <w:rPr>
                <w:noProof/>
                <w:webHidden/>
              </w:rPr>
              <w:tab/>
            </w:r>
            <w:r w:rsidR="005A3D6B">
              <w:rPr>
                <w:noProof/>
                <w:webHidden/>
              </w:rPr>
              <w:fldChar w:fldCharType="begin"/>
            </w:r>
            <w:r w:rsidR="005A3D6B">
              <w:rPr>
                <w:noProof/>
                <w:webHidden/>
              </w:rPr>
              <w:instrText xml:space="preserve"> PAGEREF _Toc160094259 \h </w:instrText>
            </w:r>
            <w:r w:rsidR="005A3D6B">
              <w:rPr>
                <w:noProof/>
                <w:webHidden/>
              </w:rPr>
            </w:r>
            <w:r w:rsidR="005A3D6B">
              <w:rPr>
                <w:noProof/>
                <w:webHidden/>
              </w:rPr>
              <w:fldChar w:fldCharType="separate"/>
            </w:r>
            <w:r w:rsidR="005A3D6B">
              <w:rPr>
                <w:noProof/>
                <w:webHidden/>
              </w:rPr>
              <w:t>4</w:t>
            </w:r>
            <w:r w:rsidR="005A3D6B">
              <w:rPr>
                <w:noProof/>
                <w:webHidden/>
              </w:rPr>
              <w:fldChar w:fldCharType="end"/>
            </w:r>
          </w:hyperlink>
        </w:p>
        <w:p w14:paraId="48E1B1FE" w14:textId="5E8EE668" w:rsidR="005A3D6B" w:rsidRDefault="009F707B">
          <w:pPr>
            <w:pStyle w:val="TOC2"/>
            <w:tabs>
              <w:tab w:val="left" w:pos="660"/>
              <w:tab w:val="right" w:leader="dot" w:pos="9350"/>
            </w:tabs>
            <w:rPr>
              <w:rFonts w:eastAsiaTheme="minorEastAsia"/>
              <w:noProof/>
            </w:rPr>
          </w:pPr>
          <w:hyperlink w:anchor="_Toc160094260" w:history="1">
            <w:r w:rsidR="005A3D6B" w:rsidRPr="00B136FB">
              <w:rPr>
                <w:rStyle w:val="Hyperlink"/>
                <w:rFonts w:eastAsia="Times New Roman"/>
                <w:noProof/>
              </w:rPr>
              <w:t>J.</w:t>
            </w:r>
            <w:r w:rsidR="005A3D6B">
              <w:rPr>
                <w:rFonts w:eastAsiaTheme="minorEastAsia"/>
                <w:noProof/>
              </w:rPr>
              <w:tab/>
            </w:r>
            <w:r w:rsidR="005A3D6B" w:rsidRPr="00B136FB">
              <w:rPr>
                <w:rStyle w:val="Hyperlink"/>
                <w:rFonts w:eastAsia="Times New Roman"/>
                <w:noProof/>
              </w:rPr>
              <w:t>SGC Standard Terms and Conditions</w:t>
            </w:r>
            <w:r w:rsidR="005A3D6B">
              <w:rPr>
                <w:noProof/>
                <w:webHidden/>
              </w:rPr>
              <w:tab/>
            </w:r>
            <w:r w:rsidR="005A3D6B">
              <w:rPr>
                <w:noProof/>
                <w:webHidden/>
              </w:rPr>
              <w:fldChar w:fldCharType="begin"/>
            </w:r>
            <w:r w:rsidR="005A3D6B">
              <w:rPr>
                <w:noProof/>
                <w:webHidden/>
              </w:rPr>
              <w:instrText xml:space="preserve"> PAGEREF _Toc160094260 \h </w:instrText>
            </w:r>
            <w:r w:rsidR="005A3D6B">
              <w:rPr>
                <w:noProof/>
                <w:webHidden/>
              </w:rPr>
            </w:r>
            <w:r w:rsidR="005A3D6B">
              <w:rPr>
                <w:noProof/>
                <w:webHidden/>
              </w:rPr>
              <w:fldChar w:fldCharType="separate"/>
            </w:r>
            <w:r w:rsidR="005A3D6B">
              <w:rPr>
                <w:noProof/>
                <w:webHidden/>
              </w:rPr>
              <w:t>5</w:t>
            </w:r>
            <w:r w:rsidR="005A3D6B">
              <w:rPr>
                <w:noProof/>
                <w:webHidden/>
              </w:rPr>
              <w:fldChar w:fldCharType="end"/>
            </w:r>
          </w:hyperlink>
        </w:p>
        <w:p w14:paraId="15762A4D" w14:textId="0EF325A7" w:rsidR="005A3D6B" w:rsidRDefault="009F707B">
          <w:pPr>
            <w:pStyle w:val="TOC1"/>
            <w:tabs>
              <w:tab w:val="left" w:pos="660"/>
              <w:tab w:val="right" w:leader="dot" w:pos="9350"/>
            </w:tabs>
            <w:rPr>
              <w:rFonts w:eastAsiaTheme="minorEastAsia"/>
              <w:noProof/>
            </w:rPr>
          </w:pPr>
          <w:hyperlink w:anchor="_Toc160094261" w:history="1">
            <w:r w:rsidR="005A3D6B" w:rsidRPr="00B136FB">
              <w:rPr>
                <w:rStyle w:val="Hyperlink"/>
                <w:rFonts w:eastAsia="Times New Roman"/>
                <w:noProof/>
              </w:rPr>
              <w:t>IV.</w:t>
            </w:r>
            <w:r w:rsidR="005A3D6B">
              <w:rPr>
                <w:rFonts w:eastAsiaTheme="minorEastAsia"/>
                <w:noProof/>
              </w:rPr>
              <w:tab/>
            </w:r>
            <w:r w:rsidR="005A3D6B" w:rsidRPr="00B136FB">
              <w:rPr>
                <w:rStyle w:val="Hyperlink"/>
                <w:rFonts w:eastAsia="Times New Roman"/>
                <w:noProof/>
              </w:rPr>
              <w:t>Provisions Applicable to the Contract</w:t>
            </w:r>
            <w:r w:rsidR="005A3D6B">
              <w:rPr>
                <w:noProof/>
                <w:webHidden/>
              </w:rPr>
              <w:tab/>
            </w:r>
            <w:r w:rsidR="005A3D6B">
              <w:rPr>
                <w:noProof/>
                <w:webHidden/>
              </w:rPr>
              <w:fldChar w:fldCharType="begin"/>
            </w:r>
            <w:r w:rsidR="005A3D6B">
              <w:rPr>
                <w:noProof/>
                <w:webHidden/>
              </w:rPr>
              <w:instrText xml:space="preserve"> PAGEREF _Toc160094261 \h </w:instrText>
            </w:r>
            <w:r w:rsidR="005A3D6B">
              <w:rPr>
                <w:noProof/>
                <w:webHidden/>
              </w:rPr>
            </w:r>
            <w:r w:rsidR="005A3D6B">
              <w:rPr>
                <w:noProof/>
                <w:webHidden/>
              </w:rPr>
              <w:fldChar w:fldCharType="separate"/>
            </w:r>
            <w:r w:rsidR="005A3D6B">
              <w:rPr>
                <w:noProof/>
                <w:webHidden/>
              </w:rPr>
              <w:t>5</w:t>
            </w:r>
            <w:r w:rsidR="005A3D6B">
              <w:rPr>
                <w:noProof/>
                <w:webHidden/>
              </w:rPr>
              <w:fldChar w:fldCharType="end"/>
            </w:r>
          </w:hyperlink>
        </w:p>
        <w:p w14:paraId="71419B52" w14:textId="57AF67E7" w:rsidR="005A3D6B" w:rsidRDefault="009F707B">
          <w:pPr>
            <w:pStyle w:val="TOC2"/>
            <w:tabs>
              <w:tab w:val="left" w:pos="660"/>
              <w:tab w:val="right" w:leader="dot" w:pos="9350"/>
            </w:tabs>
            <w:rPr>
              <w:rFonts w:eastAsiaTheme="minorEastAsia"/>
              <w:noProof/>
            </w:rPr>
          </w:pPr>
          <w:hyperlink w:anchor="_Toc160094262" w:history="1">
            <w:r w:rsidR="005A3D6B" w:rsidRPr="00B136FB">
              <w:rPr>
                <w:rStyle w:val="Hyperlink"/>
                <w:rFonts w:eastAsia="Times New Roman"/>
                <w:noProof/>
              </w:rPr>
              <w:t>A.</w:t>
            </w:r>
            <w:r w:rsidR="005A3D6B">
              <w:rPr>
                <w:rFonts w:eastAsiaTheme="minorEastAsia"/>
                <w:noProof/>
              </w:rPr>
              <w:tab/>
            </w:r>
            <w:r w:rsidR="005A3D6B" w:rsidRPr="00B136FB">
              <w:rPr>
                <w:rStyle w:val="Hyperlink"/>
                <w:rFonts w:eastAsia="Times New Roman"/>
                <w:noProof/>
              </w:rPr>
              <w:t>Agreement Term</w:t>
            </w:r>
            <w:r w:rsidR="005A3D6B">
              <w:rPr>
                <w:noProof/>
                <w:webHidden/>
              </w:rPr>
              <w:tab/>
            </w:r>
            <w:r w:rsidR="005A3D6B">
              <w:rPr>
                <w:noProof/>
                <w:webHidden/>
              </w:rPr>
              <w:fldChar w:fldCharType="begin"/>
            </w:r>
            <w:r w:rsidR="005A3D6B">
              <w:rPr>
                <w:noProof/>
                <w:webHidden/>
              </w:rPr>
              <w:instrText xml:space="preserve"> PAGEREF _Toc160094262 \h </w:instrText>
            </w:r>
            <w:r w:rsidR="005A3D6B">
              <w:rPr>
                <w:noProof/>
                <w:webHidden/>
              </w:rPr>
            </w:r>
            <w:r w:rsidR="005A3D6B">
              <w:rPr>
                <w:noProof/>
                <w:webHidden/>
              </w:rPr>
              <w:fldChar w:fldCharType="separate"/>
            </w:r>
            <w:r w:rsidR="005A3D6B">
              <w:rPr>
                <w:noProof/>
                <w:webHidden/>
              </w:rPr>
              <w:t>5</w:t>
            </w:r>
            <w:r w:rsidR="005A3D6B">
              <w:rPr>
                <w:noProof/>
                <w:webHidden/>
              </w:rPr>
              <w:fldChar w:fldCharType="end"/>
            </w:r>
          </w:hyperlink>
        </w:p>
        <w:p w14:paraId="7CF08056" w14:textId="09EDD295" w:rsidR="005A3D6B" w:rsidRDefault="009F707B">
          <w:pPr>
            <w:pStyle w:val="TOC2"/>
            <w:tabs>
              <w:tab w:val="left" w:pos="660"/>
              <w:tab w:val="right" w:leader="dot" w:pos="9350"/>
            </w:tabs>
            <w:rPr>
              <w:rFonts w:eastAsiaTheme="minorEastAsia"/>
              <w:noProof/>
            </w:rPr>
          </w:pPr>
          <w:hyperlink w:anchor="_Toc160094263" w:history="1">
            <w:r w:rsidR="005A3D6B" w:rsidRPr="00B136FB">
              <w:rPr>
                <w:rStyle w:val="Hyperlink"/>
                <w:noProof/>
              </w:rPr>
              <w:t>B.</w:t>
            </w:r>
            <w:r w:rsidR="005A3D6B">
              <w:rPr>
                <w:rFonts w:eastAsiaTheme="minorEastAsia"/>
                <w:noProof/>
              </w:rPr>
              <w:tab/>
            </w:r>
            <w:r w:rsidR="005A3D6B" w:rsidRPr="00B136FB">
              <w:rPr>
                <w:rStyle w:val="Hyperlink"/>
                <w:noProof/>
              </w:rPr>
              <w:t>Requirements Specification</w:t>
            </w:r>
            <w:r w:rsidR="005A3D6B">
              <w:rPr>
                <w:noProof/>
                <w:webHidden/>
              </w:rPr>
              <w:tab/>
            </w:r>
            <w:r w:rsidR="005A3D6B">
              <w:rPr>
                <w:noProof/>
                <w:webHidden/>
              </w:rPr>
              <w:fldChar w:fldCharType="begin"/>
            </w:r>
            <w:r w:rsidR="005A3D6B">
              <w:rPr>
                <w:noProof/>
                <w:webHidden/>
              </w:rPr>
              <w:instrText xml:space="preserve"> PAGEREF _Toc160094263 \h </w:instrText>
            </w:r>
            <w:r w:rsidR="005A3D6B">
              <w:rPr>
                <w:noProof/>
                <w:webHidden/>
              </w:rPr>
            </w:r>
            <w:r w:rsidR="005A3D6B">
              <w:rPr>
                <w:noProof/>
                <w:webHidden/>
              </w:rPr>
              <w:fldChar w:fldCharType="separate"/>
            </w:r>
            <w:r w:rsidR="005A3D6B">
              <w:rPr>
                <w:noProof/>
                <w:webHidden/>
              </w:rPr>
              <w:t>5</w:t>
            </w:r>
            <w:r w:rsidR="005A3D6B">
              <w:rPr>
                <w:noProof/>
                <w:webHidden/>
              </w:rPr>
              <w:fldChar w:fldCharType="end"/>
            </w:r>
          </w:hyperlink>
        </w:p>
        <w:p w14:paraId="317864A5" w14:textId="4C02C972" w:rsidR="005A3D6B" w:rsidRDefault="009F707B">
          <w:pPr>
            <w:pStyle w:val="TOC2"/>
            <w:tabs>
              <w:tab w:val="left" w:pos="660"/>
              <w:tab w:val="right" w:leader="dot" w:pos="9350"/>
            </w:tabs>
            <w:rPr>
              <w:rFonts w:eastAsiaTheme="minorEastAsia"/>
              <w:noProof/>
            </w:rPr>
          </w:pPr>
          <w:hyperlink w:anchor="_Toc160094264" w:history="1">
            <w:r w:rsidR="005A3D6B" w:rsidRPr="00B136FB">
              <w:rPr>
                <w:rStyle w:val="Hyperlink"/>
                <w:rFonts w:eastAsia="Times New Roman"/>
                <w:noProof/>
              </w:rPr>
              <w:t>C.</w:t>
            </w:r>
            <w:r w:rsidR="005A3D6B">
              <w:rPr>
                <w:rFonts w:eastAsiaTheme="minorEastAsia"/>
                <w:noProof/>
              </w:rPr>
              <w:tab/>
            </w:r>
            <w:r w:rsidR="005A3D6B" w:rsidRPr="00B136FB">
              <w:rPr>
                <w:rStyle w:val="Hyperlink"/>
                <w:rFonts w:eastAsia="Times New Roman"/>
                <w:noProof/>
              </w:rPr>
              <w:t>Tax Exempt Status</w:t>
            </w:r>
            <w:r w:rsidR="005A3D6B">
              <w:rPr>
                <w:noProof/>
                <w:webHidden/>
              </w:rPr>
              <w:tab/>
            </w:r>
            <w:r w:rsidR="005A3D6B">
              <w:rPr>
                <w:noProof/>
                <w:webHidden/>
              </w:rPr>
              <w:fldChar w:fldCharType="begin"/>
            </w:r>
            <w:r w:rsidR="005A3D6B">
              <w:rPr>
                <w:noProof/>
                <w:webHidden/>
              </w:rPr>
              <w:instrText xml:space="preserve"> PAGEREF _Toc160094264 \h </w:instrText>
            </w:r>
            <w:r w:rsidR="005A3D6B">
              <w:rPr>
                <w:noProof/>
                <w:webHidden/>
              </w:rPr>
            </w:r>
            <w:r w:rsidR="005A3D6B">
              <w:rPr>
                <w:noProof/>
                <w:webHidden/>
              </w:rPr>
              <w:fldChar w:fldCharType="separate"/>
            </w:r>
            <w:r w:rsidR="005A3D6B">
              <w:rPr>
                <w:noProof/>
                <w:webHidden/>
              </w:rPr>
              <w:t>9</w:t>
            </w:r>
            <w:r w:rsidR="005A3D6B">
              <w:rPr>
                <w:noProof/>
                <w:webHidden/>
              </w:rPr>
              <w:fldChar w:fldCharType="end"/>
            </w:r>
          </w:hyperlink>
        </w:p>
        <w:p w14:paraId="72B9DC17" w14:textId="4D2137D5" w:rsidR="005A3D6B" w:rsidRDefault="009F707B">
          <w:pPr>
            <w:pStyle w:val="TOC2"/>
            <w:tabs>
              <w:tab w:val="left" w:pos="660"/>
              <w:tab w:val="right" w:leader="dot" w:pos="9350"/>
            </w:tabs>
            <w:rPr>
              <w:rFonts w:eastAsiaTheme="minorEastAsia"/>
              <w:noProof/>
            </w:rPr>
          </w:pPr>
          <w:hyperlink w:anchor="_Toc160094265" w:history="1">
            <w:r w:rsidR="005A3D6B" w:rsidRPr="00B136FB">
              <w:rPr>
                <w:rStyle w:val="Hyperlink"/>
                <w:rFonts w:eastAsia="Times New Roman"/>
                <w:noProof/>
              </w:rPr>
              <w:t>D.</w:t>
            </w:r>
            <w:r w:rsidR="005A3D6B">
              <w:rPr>
                <w:rFonts w:eastAsiaTheme="minorEastAsia"/>
                <w:noProof/>
              </w:rPr>
              <w:tab/>
            </w:r>
            <w:r w:rsidR="005A3D6B" w:rsidRPr="00B136FB">
              <w:rPr>
                <w:rStyle w:val="Hyperlink"/>
                <w:rFonts w:eastAsia="Times New Roman"/>
                <w:noProof/>
              </w:rPr>
              <w:t>Payment Terms</w:t>
            </w:r>
            <w:r w:rsidR="005A3D6B">
              <w:rPr>
                <w:noProof/>
                <w:webHidden/>
              </w:rPr>
              <w:tab/>
            </w:r>
            <w:r w:rsidR="005A3D6B">
              <w:rPr>
                <w:noProof/>
                <w:webHidden/>
              </w:rPr>
              <w:fldChar w:fldCharType="begin"/>
            </w:r>
            <w:r w:rsidR="005A3D6B">
              <w:rPr>
                <w:noProof/>
                <w:webHidden/>
              </w:rPr>
              <w:instrText xml:space="preserve"> PAGEREF _Toc160094265 \h </w:instrText>
            </w:r>
            <w:r w:rsidR="005A3D6B">
              <w:rPr>
                <w:noProof/>
                <w:webHidden/>
              </w:rPr>
            </w:r>
            <w:r w:rsidR="005A3D6B">
              <w:rPr>
                <w:noProof/>
                <w:webHidden/>
              </w:rPr>
              <w:fldChar w:fldCharType="separate"/>
            </w:r>
            <w:r w:rsidR="005A3D6B">
              <w:rPr>
                <w:noProof/>
                <w:webHidden/>
              </w:rPr>
              <w:t>9</w:t>
            </w:r>
            <w:r w:rsidR="005A3D6B">
              <w:rPr>
                <w:noProof/>
                <w:webHidden/>
              </w:rPr>
              <w:fldChar w:fldCharType="end"/>
            </w:r>
          </w:hyperlink>
        </w:p>
        <w:p w14:paraId="5F3D4980" w14:textId="6EDD05B8" w:rsidR="005A3D6B" w:rsidRDefault="009F707B">
          <w:pPr>
            <w:pStyle w:val="TOC1"/>
            <w:tabs>
              <w:tab w:val="left" w:pos="440"/>
              <w:tab w:val="right" w:leader="dot" w:pos="9350"/>
            </w:tabs>
            <w:rPr>
              <w:rFonts w:eastAsiaTheme="minorEastAsia"/>
              <w:noProof/>
            </w:rPr>
          </w:pPr>
          <w:hyperlink w:anchor="_Toc160094266" w:history="1">
            <w:r w:rsidR="005A3D6B" w:rsidRPr="00B136FB">
              <w:rPr>
                <w:rStyle w:val="Hyperlink"/>
                <w:rFonts w:eastAsia="Times New Roman"/>
                <w:noProof/>
              </w:rPr>
              <w:t>V.</w:t>
            </w:r>
            <w:r w:rsidR="005A3D6B">
              <w:rPr>
                <w:rFonts w:eastAsiaTheme="minorEastAsia"/>
                <w:noProof/>
              </w:rPr>
              <w:tab/>
            </w:r>
            <w:r w:rsidR="005A3D6B" w:rsidRPr="00B136FB">
              <w:rPr>
                <w:rStyle w:val="Hyperlink"/>
                <w:rFonts w:eastAsia="Times New Roman"/>
                <w:noProof/>
              </w:rPr>
              <w:t>Supplemental Bidder Information</w:t>
            </w:r>
            <w:r w:rsidR="005A3D6B">
              <w:rPr>
                <w:noProof/>
                <w:webHidden/>
              </w:rPr>
              <w:tab/>
            </w:r>
            <w:r w:rsidR="005A3D6B">
              <w:rPr>
                <w:noProof/>
                <w:webHidden/>
              </w:rPr>
              <w:fldChar w:fldCharType="begin"/>
            </w:r>
            <w:r w:rsidR="005A3D6B">
              <w:rPr>
                <w:noProof/>
                <w:webHidden/>
              </w:rPr>
              <w:instrText xml:space="preserve"> PAGEREF _Toc160094266 \h </w:instrText>
            </w:r>
            <w:r w:rsidR="005A3D6B">
              <w:rPr>
                <w:noProof/>
                <w:webHidden/>
              </w:rPr>
            </w:r>
            <w:r w:rsidR="005A3D6B">
              <w:rPr>
                <w:noProof/>
                <w:webHidden/>
              </w:rPr>
              <w:fldChar w:fldCharType="separate"/>
            </w:r>
            <w:r w:rsidR="005A3D6B">
              <w:rPr>
                <w:noProof/>
                <w:webHidden/>
              </w:rPr>
              <w:t>9</w:t>
            </w:r>
            <w:r w:rsidR="005A3D6B">
              <w:rPr>
                <w:noProof/>
                <w:webHidden/>
              </w:rPr>
              <w:fldChar w:fldCharType="end"/>
            </w:r>
          </w:hyperlink>
        </w:p>
        <w:p w14:paraId="4D39AA1C" w14:textId="12DF4AF2" w:rsidR="005A3D6B" w:rsidRDefault="009F707B">
          <w:pPr>
            <w:pStyle w:val="TOC2"/>
            <w:tabs>
              <w:tab w:val="left" w:pos="660"/>
              <w:tab w:val="right" w:leader="dot" w:pos="9350"/>
            </w:tabs>
            <w:rPr>
              <w:rFonts w:eastAsiaTheme="minorEastAsia"/>
              <w:noProof/>
            </w:rPr>
          </w:pPr>
          <w:hyperlink w:anchor="_Toc160094267" w:history="1">
            <w:r w:rsidR="005A3D6B" w:rsidRPr="00B136FB">
              <w:rPr>
                <w:rStyle w:val="Hyperlink"/>
                <w:rFonts w:eastAsia="Times New Roman"/>
                <w:noProof/>
              </w:rPr>
              <w:t>A.</w:t>
            </w:r>
            <w:r w:rsidR="005A3D6B">
              <w:rPr>
                <w:rFonts w:eastAsiaTheme="minorEastAsia"/>
                <w:noProof/>
              </w:rPr>
              <w:tab/>
            </w:r>
            <w:r w:rsidR="005A3D6B" w:rsidRPr="00B136FB">
              <w:rPr>
                <w:rStyle w:val="Hyperlink"/>
                <w:rFonts w:eastAsia="Times New Roman"/>
                <w:noProof/>
              </w:rPr>
              <w:t>Business Continuity</w:t>
            </w:r>
            <w:r w:rsidR="005A3D6B">
              <w:rPr>
                <w:noProof/>
                <w:webHidden/>
              </w:rPr>
              <w:tab/>
            </w:r>
            <w:r w:rsidR="005A3D6B">
              <w:rPr>
                <w:noProof/>
                <w:webHidden/>
              </w:rPr>
              <w:fldChar w:fldCharType="begin"/>
            </w:r>
            <w:r w:rsidR="005A3D6B">
              <w:rPr>
                <w:noProof/>
                <w:webHidden/>
              </w:rPr>
              <w:instrText xml:space="preserve"> PAGEREF _Toc160094267 \h </w:instrText>
            </w:r>
            <w:r w:rsidR="005A3D6B">
              <w:rPr>
                <w:noProof/>
                <w:webHidden/>
              </w:rPr>
            </w:r>
            <w:r w:rsidR="005A3D6B">
              <w:rPr>
                <w:noProof/>
                <w:webHidden/>
              </w:rPr>
              <w:fldChar w:fldCharType="separate"/>
            </w:r>
            <w:r w:rsidR="005A3D6B">
              <w:rPr>
                <w:noProof/>
                <w:webHidden/>
              </w:rPr>
              <w:t>9</w:t>
            </w:r>
            <w:r w:rsidR="005A3D6B">
              <w:rPr>
                <w:noProof/>
                <w:webHidden/>
              </w:rPr>
              <w:fldChar w:fldCharType="end"/>
            </w:r>
          </w:hyperlink>
        </w:p>
        <w:p w14:paraId="383FE29E" w14:textId="4D17E0B2" w:rsidR="005A3D6B" w:rsidRDefault="009F707B">
          <w:pPr>
            <w:pStyle w:val="TOC2"/>
            <w:tabs>
              <w:tab w:val="left" w:pos="660"/>
              <w:tab w:val="right" w:leader="dot" w:pos="9350"/>
            </w:tabs>
            <w:rPr>
              <w:rFonts w:eastAsiaTheme="minorEastAsia"/>
              <w:noProof/>
            </w:rPr>
          </w:pPr>
          <w:hyperlink w:anchor="_Toc160094268" w:history="1">
            <w:r w:rsidR="005A3D6B" w:rsidRPr="00B136FB">
              <w:rPr>
                <w:rStyle w:val="Hyperlink"/>
                <w:rFonts w:eastAsia="Times New Roman"/>
                <w:noProof/>
              </w:rPr>
              <w:t>B.</w:t>
            </w:r>
            <w:r w:rsidR="005A3D6B">
              <w:rPr>
                <w:rFonts w:eastAsiaTheme="minorEastAsia"/>
                <w:noProof/>
              </w:rPr>
              <w:tab/>
            </w:r>
            <w:r w:rsidR="005A3D6B" w:rsidRPr="00B136FB">
              <w:rPr>
                <w:rStyle w:val="Hyperlink"/>
                <w:rFonts w:eastAsia="Times New Roman"/>
                <w:noProof/>
              </w:rPr>
              <w:t>Conformity of Proposal with SGC Requirements</w:t>
            </w:r>
            <w:r w:rsidR="005A3D6B">
              <w:rPr>
                <w:noProof/>
                <w:webHidden/>
              </w:rPr>
              <w:tab/>
            </w:r>
            <w:r w:rsidR="005A3D6B">
              <w:rPr>
                <w:noProof/>
                <w:webHidden/>
              </w:rPr>
              <w:fldChar w:fldCharType="begin"/>
            </w:r>
            <w:r w:rsidR="005A3D6B">
              <w:rPr>
                <w:noProof/>
                <w:webHidden/>
              </w:rPr>
              <w:instrText xml:space="preserve"> PAGEREF _Toc160094268 \h </w:instrText>
            </w:r>
            <w:r w:rsidR="005A3D6B">
              <w:rPr>
                <w:noProof/>
                <w:webHidden/>
              </w:rPr>
            </w:r>
            <w:r w:rsidR="005A3D6B">
              <w:rPr>
                <w:noProof/>
                <w:webHidden/>
              </w:rPr>
              <w:fldChar w:fldCharType="separate"/>
            </w:r>
            <w:r w:rsidR="005A3D6B">
              <w:rPr>
                <w:noProof/>
                <w:webHidden/>
              </w:rPr>
              <w:t>9</w:t>
            </w:r>
            <w:r w:rsidR="005A3D6B">
              <w:rPr>
                <w:noProof/>
                <w:webHidden/>
              </w:rPr>
              <w:fldChar w:fldCharType="end"/>
            </w:r>
          </w:hyperlink>
        </w:p>
        <w:p w14:paraId="05E59733" w14:textId="1A365151" w:rsidR="005A3D6B" w:rsidRDefault="009F707B">
          <w:pPr>
            <w:pStyle w:val="TOC1"/>
            <w:tabs>
              <w:tab w:val="left" w:pos="660"/>
              <w:tab w:val="right" w:leader="dot" w:pos="9350"/>
            </w:tabs>
            <w:rPr>
              <w:rFonts w:eastAsiaTheme="minorEastAsia"/>
              <w:noProof/>
            </w:rPr>
          </w:pPr>
          <w:hyperlink w:anchor="_Toc160094269" w:history="1">
            <w:r w:rsidR="005A3D6B" w:rsidRPr="00B136FB">
              <w:rPr>
                <w:rStyle w:val="Hyperlink"/>
                <w:rFonts w:eastAsia="Times New Roman"/>
                <w:noProof/>
              </w:rPr>
              <w:t>VI.</w:t>
            </w:r>
            <w:r w:rsidR="005A3D6B">
              <w:rPr>
                <w:rFonts w:eastAsiaTheme="minorEastAsia"/>
                <w:noProof/>
              </w:rPr>
              <w:tab/>
            </w:r>
            <w:r w:rsidR="005A3D6B" w:rsidRPr="00B136FB">
              <w:rPr>
                <w:rStyle w:val="Hyperlink"/>
                <w:rFonts w:eastAsia="Times New Roman"/>
                <w:noProof/>
              </w:rPr>
              <w:t>Vendor Requirements</w:t>
            </w:r>
            <w:r w:rsidR="005A3D6B">
              <w:rPr>
                <w:noProof/>
                <w:webHidden/>
              </w:rPr>
              <w:tab/>
            </w:r>
            <w:r w:rsidR="005A3D6B">
              <w:rPr>
                <w:noProof/>
                <w:webHidden/>
              </w:rPr>
              <w:fldChar w:fldCharType="begin"/>
            </w:r>
            <w:r w:rsidR="005A3D6B">
              <w:rPr>
                <w:noProof/>
                <w:webHidden/>
              </w:rPr>
              <w:instrText xml:space="preserve"> PAGEREF _Toc160094269 \h </w:instrText>
            </w:r>
            <w:r w:rsidR="005A3D6B">
              <w:rPr>
                <w:noProof/>
                <w:webHidden/>
              </w:rPr>
            </w:r>
            <w:r w:rsidR="005A3D6B">
              <w:rPr>
                <w:noProof/>
                <w:webHidden/>
              </w:rPr>
              <w:fldChar w:fldCharType="separate"/>
            </w:r>
            <w:r w:rsidR="005A3D6B">
              <w:rPr>
                <w:noProof/>
                <w:webHidden/>
              </w:rPr>
              <w:t>9</w:t>
            </w:r>
            <w:r w:rsidR="005A3D6B">
              <w:rPr>
                <w:noProof/>
                <w:webHidden/>
              </w:rPr>
              <w:fldChar w:fldCharType="end"/>
            </w:r>
          </w:hyperlink>
        </w:p>
        <w:p w14:paraId="53E64429" w14:textId="33A5ACC8" w:rsidR="005A3D6B" w:rsidRDefault="009F707B">
          <w:pPr>
            <w:pStyle w:val="TOC2"/>
            <w:tabs>
              <w:tab w:val="left" w:pos="660"/>
              <w:tab w:val="right" w:leader="dot" w:pos="9350"/>
            </w:tabs>
            <w:rPr>
              <w:rFonts w:eastAsiaTheme="minorEastAsia"/>
              <w:noProof/>
            </w:rPr>
          </w:pPr>
          <w:hyperlink w:anchor="_Toc160094270" w:history="1">
            <w:r w:rsidR="005A3D6B" w:rsidRPr="00B136FB">
              <w:rPr>
                <w:rStyle w:val="Hyperlink"/>
                <w:rFonts w:eastAsia="Times New Roman"/>
                <w:noProof/>
              </w:rPr>
              <w:t>A.</w:t>
            </w:r>
            <w:r w:rsidR="005A3D6B">
              <w:rPr>
                <w:rFonts w:eastAsiaTheme="minorEastAsia"/>
                <w:noProof/>
              </w:rPr>
              <w:tab/>
            </w:r>
            <w:r w:rsidR="005A3D6B" w:rsidRPr="00B136FB">
              <w:rPr>
                <w:rStyle w:val="Hyperlink"/>
                <w:rFonts w:eastAsia="Times New Roman"/>
                <w:noProof/>
              </w:rPr>
              <w:t>Proposal</w:t>
            </w:r>
            <w:r w:rsidR="005A3D6B">
              <w:rPr>
                <w:noProof/>
                <w:webHidden/>
              </w:rPr>
              <w:tab/>
            </w:r>
            <w:r w:rsidR="005A3D6B">
              <w:rPr>
                <w:noProof/>
                <w:webHidden/>
              </w:rPr>
              <w:fldChar w:fldCharType="begin"/>
            </w:r>
            <w:r w:rsidR="005A3D6B">
              <w:rPr>
                <w:noProof/>
                <w:webHidden/>
              </w:rPr>
              <w:instrText xml:space="preserve"> PAGEREF _Toc160094270 \h </w:instrText>
            </w:r>
            <w:r w:rsidR="005A3D6B">
              <w:rPr>
                <w:noProof/>
                <w:webHidden/>
              </w:rPr>
            </w:r>
            <w:r w:rsidR="005A3D6B">
              <w:rPr>
                <w:noProof/>
                <w:webHidden/>
              </w:rPr>
              <w:fldChar w:fldCharType="separate"/>
            </w:r>
            <w:r w:rsidR="005A3D6B">
              <w:rPr>
                <w:noProof/>
                <w:webHidden/>
              </w:rPr>
              <w:t>9</w:t>
            </w:r>
            <w:r w:rsidR="005A3D6B">
              <w:rPr>
                <w:noProof/>
                <w:webHidden/>
              </w:rPr>
              <w:fldChar w:fldCharType="end"/>
            </w:r>
          </w:hyperlink>
        </w:p>
        <w:p w14:paraId="43D1C16B" w14:textId="6098A7FD" w:rsidR="005A3D6B" w:rsidRDefault="009F707B">
          <w:pPr>
            <w:pStyle w:val="TOC2"/>
            <w:tabs>
              <w:tab w:val="left" w:pos="660"/>
              <w:tab w:val="right" w:leader="dot" w:pos="9350"/>
            </w:tabs>
            <w:rPr>
              <w:rFonts w:eastAsiaTheme="minorEastAsia"/>
              <w:noProof/>
            </w:rPr>
          </w:pPr>
          <w:hyperlink w:anchor="_Toc160094271" w:history="1">
            <w:r w:rsidR="005A3D6B" w:rsidRPr="00B136FB">
              <w:rPr>
                <w:rStyle w:val="Hyperlink"/>
                <w:rFonts w:eastAsia="Times New Roman"/>
                <w:noProof/>
              </w:rPr>
              <w:t>B.</w:t>
            </w:r>
            <w:r w:rsidR="005A3D6B">
              <w:rPr>
                <w:rFonts w:eastAsiaTheme="minorEastAsia"/>
                <w:noProof/>
              </w:rPr>
              <w:tab/>
            </w:r>
            <w:r w:rsidR="005A3D6B" w:rsidRPr="00B136FB">
              <w:rPr>
                <w:rStyle w:val="Hyperlink"/>
                <w:rFonts w:eastAsia="Times New Roman"/>
                <w:noProof/>
              </w:rPr>
              <w:t>Standard Supply Agreement</w:t>
            </w:r>
            <w:r w:rsidR="005A3D6B">
              <w:rPr>
                <w:noProof/>
                <w:webHidden/>
              </w:rPr>
              <w:tab/>
            </w:r>
            <w:r w:rsidR="005A3D6B">
              <w:rPr>
                <w:noProof/>
                <w:webHidden/>
              </w:rPr>
              <w:fldChar w:fldCharType="begin"/>
            </w:r>
            <w:r w:rsidR="005A3D6B">
              <w:rPr>
                <w:noProof/>
                <w:webHidden/>
              </w:rPr>
              <w:instrText xml:space="preserve"> PAGEREF _Toc160094271 \h </w:instrText>
            </w:r>
            <w:r w:rsidR="005A3D6B">
              <w:rPr>
                <w:noProof/>
                <w:webHidden/>
              </w:rPr>
            </w:r>
            <w:r w:rsidR="005A3D6B">
              <w:rPr>
                <w:noProof/>
                <w:webHidden/>
              </w:rPr>
              <w:fldChar w:fldCharType="separate"/>
            </w:r>
            <w:r w:rsidR="005A3D6B">
              <w:rPr>
                <w:noProof/>
                <w:webHidden/>
              </w:rPr>
              <w:t>9</w:t>
            </w:r>
            <w:r w:rsidR="005A3D6B">
              <w:rPr>
                <w:noProof/>
                <w:webHidden/>
              </w:rPr>
              <w:fldChar w:fldCharType="end"/>
            </w:r>
          </w:hyperlink>
        </w:p>
        <w:p w14:paraId="60F60E9F" w14:textId="75ADD649" w:rsidR="005A3D6B" w:rsidRDefault="009F707B">
          <w:pPr>
            <w:pStyle w:val="TOC2"/>
            <w:tabs>
              <w:tab w:val="left" w:pos="660"/>
              <w:tab w:val="right" w:leader="dot" w:pos="9350"/>
            </w:tabs>
            <w:rPr>
              <w:rFonts w:eastAsiaTheme="minorEastAsia"/>
              <w:noProof/>
            </w:rPr>
          </w:pPr>
          <w:hyperlink w:anchor="_Toc160094272" w:history="1">
            <w:r w:rsidR="005A3D6B" w:rsidRPr="00B136FB">
              <w:rPr>
                <w:rStyle w:val="Hyperlink"/>
                <w:rFonts w:eastAsia="Times New Roman"/>
                <w:noProof/>
              </w:rPr>
              <w:t>C.</w:t>
            </w:r>
            <w:r w:rsidR="005A3D6B">
              <w:rPr>
                <w:rFonts w:eastAsiaTheme="minorEastAsia"/>
                <w:noProof/>
              </w:rPr>
              <w:tab/>
            </w:r>
            <w:r w:rsidR="005A3D6B" w:rsidRPr="00B136FB">
              <w:rPr>
                <w:rStyle w:val="Hyperlink"/>
                <w:rFonts w:eastAsia="Times New Roman"/>
                <w:noProof/>
              </w:rPr>
              <w:t>Seneca Nation Business Registration Fee (SNIBRF)</w:t>
            </w:r>
            <w:r w:rsidR="005A3D6B">
              <w:rPr>
                <w:noProof/>
                <w:webHidden/>
              </w:rPr>
              <w:tab/>
            </w:r>
            <w:r w:rsidR="005A3D6B">
              <w:rPr>
                <w:noProof/>
                <w:webHidden/>
              </w:rPr>
              <w:fldChar w:fldCharType="begin"/>
            </w:r>
            <w:r w:rsidR="005A3D6B">
              <w:rPr>
                <w:noProof/>
                <w:webHidden/>
              </w:rPr>
              <w:instrText xml:space="preserve"> PAGEREF _Toc160094272 \h </w:instrText>
            </w:r>
            <w:r w:rsidR="005A3D6B">
              <w:rPr>
                <w:noProof/>
                <w:webHidden/>
              </w:rPr>
            </w:r>
            <w:r w:rsidR="005A3D6B">
              <w:rPr>
                <w:noProof/>
                <w:webHidden/>
              </w:rPr>
              <w:fldChar w:fldCharType="separate"/>
            </w:r>
            <w:r w:rsidR="005A3D6B">
              <w:rPr>
                <w:noProof/>
                <w:webHidden/>
              </w:rPr>
              <w:t>10</w:t>
            </w:r>
            <w:r w:rsidR="005A3D6B">
              <w:rPr>
                <w:noProof/>
                <w:webHidden/>
              </w:rPr>
              <w:fldChar w:fldCharType="end"/>
            </w:r>
          </w:hyperlink>
        </w:p>
        <w:p w14:paraId="5A9BC10D" w14:textId="343393FB" w:rsidR="005A3D6B" w:rsidRDefault="009F707B">
          <w:pPr>
            <w:pStyle w:val="TOC1"/>
            <w:tabs>
              <w:tab w:val="left" w:pos="660"/>
              <w:tab w:val="right" w:leader="dot" w:pos="9350"/>
            </w:tabs>
            <w:rPr>
              <w:rFonts w:eastAsiaTheme="minorEastAsia"/>
              <w:noProof/>
            </w:rPr>
          </w:pPr>
          <w:hyperlink w:anchor="_Toc160094273" w:history="1">
            <w:r w:rsidR="005A3D6B" w:rsidRPr="00B136FB">
              <w:rPr>
                <w:rStyle w:val="Hyperlink"/>
                <w:rFonts w:eastAsia="Times New Roman"/>
                <w:noProof/>
              </w:rPr>
              <w:t>VII.</w:t>
            </w:r>
            <w:r w:rsidR="005A3D6B">
              <w:rPr>
                <w:rFonts w:eastAsiaTheme="minorEastAsia"/>
                <w:noProof/>
              </w:rPr>
              <w:tab/>
            </w:r>
            <w:r w:rsidR="005A3D6B" w:rsidRPr="00B136FB">
              <w:rPr>
                <w:rStyle w:val="Hyperlink"/>
                <w:rFonts w:eastAsia="Times New Roman"/>
                <w:noProof/>
              </w:rPr>
              <w:t>Bidder Certifications and Representations</w:t>
            </w:r>
            <w:r w:rsidR="005A3D6B">
              <w:rPr>
                <w:noProof/>
                <w:webHidden/>
              </w:rPr>
              <w:tab/>
            </w:r>
            <w:r w:rsidR="005A3D6B">
              <w:rPr>
                <w:noProof/>
                <w:webHidden/>
              </w:rPr>
              <w:fldChar w:fldCharType="begin"/>
            </w:r>
            <w:r w:rsidR="005A3D6B">
              <w:rPr>
                <w:noProof/>
                <w:webHidden/>
              </w:rPr>
              <w:instrText xml:space="preserve"> PAGEREF _Toc160094273 \h </w:instrText>
            </w:r>
            <w:r w:rsidR="005A3D6B">
              <w:rPr>
                <w:noProof/>
                <w:webHidden/>
              </w:rPr>
            </w:r>
            <w:r w:rsidR="005A3D6B">
              <w:rPr>
                <w:noProof/>
                <w:webHidden/>
              </w:rPr>
              <w:fldChar w:fldCharType="separate"/>
            </w:r>
            <w:r w:rsidR="005A3D6B">
              <w:rPr>
                <w:noProof/>
                <w:webHidden/>
              </w:rPr>
              <w:t>11</w:t>
            </w:r>
            <w:r w:rsidR="005A3D6B">
              <w:rPr>
                <w:noProof/>
                <w:webHidden/>
              </w:rPr>
              <w:fldChar w:fldCharType="end"/>
            </w:r>
          </w:hyperlink>
        </w:p>
        <w:p w14:paraId="6C841462" w14:textId="244A0104" w:rsidR="00E96538" w:rsidRDefault="00E96538" w:rsidP="00E96538">
          <w:r>
            <w:rPr>
              <w:b/>
              <w:bCs/>
              <w:noProof/>
            </w:rPr>
            <w:fldChar w:fldCharType="end"/>
          </w:r>
        </w:p>
      </w:sdtContent>
    </w:sdt>
    <w:p w14:paraId="220EF4B5"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32CE7608" w14:textId="77777777" w:rsidR="00E96538" w:rsidRDefault="00E96538" w:rsidP="00E96538">
      <w:pPr>
        <w:pStyle w:val="Heading1"/>
      </w:pPr>
      <w:bookmarkStart w:id="0" w:name="_Toc160094248"/>
      <w:r>
        <w:lastRenderedPageBreak/>
        <w:t>Introduction</w:t>
      </w:r>
      <w:bookmarkEnd w:id="0"/>
    </w:p>
    <w:p w14:paraId="3592E62D"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F951AF2"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637A481"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4FAEECF6" w14:textId="77777777" w:rsidR="00E96538" w:rsidRDefault="00E96538" w:rsidP="00E96538">
      <w:pPr>
        <w:pStyle w:val="Heading1"/>
      </w:pPr>
      <w:bookmarkStart w:id="1" w:name="_Toc160094249"/>
      <w:r>
        <w:t>RFP Objective</w:t>
      </w:r>
      <w:bookmarkEnd w:id="1"/>
    </w:p>
    <w:p w14:paraId="04C57C34" w14:textId="7E09B547" w:rsidR="00E96538" w:rsidRPr="008A7C84" w:rsidRDefault="00E96538" w:rsidP="00E96538">
      <w:pPr>
        <w:spacing w:before="120" w:after="120" w:line="240" w:lineRule="auto"/>
        <w:ind w:left="720"/>
        <w:rPr>
          <w:rFonts w:eastAsia="Times New Roman" w:cstheme="minorHAnsi"/>
          <w:bCs/>
          <w:iCs/>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w:t>
      </w:r>
      <w:r w:rsidR="00492084">
        <w:rPr>
          <w:rFonts w:eastAsia="Times New Roman" w:cstheme="minorHAnsi"/>
        </w:rPr>
        <w:t>one or more</w:t>
      </w:r>
      <w:r w:rsidRPr="00C63E68">
        <w:rPr>
          <w:rFonts w:eastAsia="Times New Roman" w:cstheme="minorHAnsi"/>
        </w:rPr>
        <w:t xml:space="preserve"> qualified</w:t>
      </w:r>
      <w:r w:rsidR="008A7C84">
        <w:rPr>
          <w:rFonts w:eastAsia="Times New Roman" w:cstheme="minorHAnsi"/>
          <w:b/>
          <w:i/>
          <w:color w:val="FF0000"/>
        </w:rPr>
        <w:t xml:space="preserve"> </w:t>
      </w:r>
      <w:r w:rsidR="008A7C84">
        <w:rPr>
          <w:rFonts w:eastAsia="Times New Roman" w:cstheme="minorHAnsi"/>
          <w:bCs/>
          <w:iCs/>
        </w:rPr>
        <w:t>vendor</w:t>
      </w:r>
      <w:r w:rsidR="00492084">
        <w:rPr>
          <w:rFonts w:eastAsia="Times New Roman" w:cstheme="minorHAnsi"/>
          <w:bCs/>
          <w:iCs/>
        </w:rPr>
        <w:t>s</w:t>
      </w:r>
      <w:r w:rsidR="008A7C84">
        <w:rPr>
          <w:rFonts w:eastAsia="Times New Roman" w:cstheme="minorHAnsi"/>
          <w:bCs/>
          <w:iCs/>
        </w:rPr>
        <w:t xml:space="preserve"> to supply hotel</w:t>
      </w:r>
      <w:r w:rsidR="00492084">
        <w:rPr>
          <w:rFonts w:eastAsia="Times New Roman" w:cstheme="minorHAnsi"/>
          <w:bCs/>
          <w:iCs/>
        </w:rPr>
        <w:t xml:space="preserve"> guest</w:t>
      </w:r>
      <w:r w:rsidR="008A7C84">
        <w:rPr>
          <w:rFonts w:eastAsia="Times New Roman" w:cstheme="minorHAnsi"/>
          <w:bCs/>
          <w:iCs/>
        </w:rPr>
        <w:t xml:space="preserve"> room amenities for the Seneca Niagara Resort &amp; Casino (SNRC) located in Niagara Falls, NY 14303 (</w:t>
      </w:r>
      <w:r w:rsidR="00DB7B7D">
        <w:rPr>
          <w:rFonts w:eastAsia="Times New Roman" w:cstheme="minorHAnsi"/>
          <w:bCs/>
          <w:iCs/>
        </w:rPr>
        <w:t xml:space="preserve">approx. </w:t>
      </w:r>
      <w:r w:rsidR="008A7C84">
        <w:rPr>
          <w:rFonts w:eastAsia="Times New Roman" w:cstheme="minorHAnsi"/>
          <w:bCs/>
          <w:iCs/>
        </w:rPr>
        <w:t>600 rooms) and the Seneca Allegany Resort &amp; Casino (SARC) located in Salamanca, NY 14779 (</w:t>
      </w:r>
      <w:r w:rsidR="00DB7B7D">
        <w:rPr>
          <w:rFonts w:eastAsia="Times New Roman" w:cstheme="minorHAnsi"/>
          <w:bCs/>
          <w:iCs/>
        </w:rPr>
        <w:t xml:space="preserve">approx. </w:t>
      </w:r>
      <w:r w:rsidR="008A7C84">
        <w:rPr>
          <w:rFonts w:eastAsia="Times New Roman" w:cstheme="minorHAnsi"/>
          <w:bCs/>
          <w:iCs/>
        </w:rPr>
        <w:t xml:space="preserve">400 rooms). </w:t>
      </w:r>
    </w:p>
    <w:p w14:paraId="273A7A69" w14:textId="77777777" w:rsidR="00E96538" w:rsidRDefault="00E96538" w:rsidP="00E96538">
      <w:pPr>
        <w:pStyle w:val="Heading1"/>
      </w:pPr>
      <w:bookmarkStart w:id="2" w:name="_Toc160094250"/>
      <w:r>
        <w:t>RFP Administrative Information</w:t>
      </w:r>
      <w:bookmarkEnd w:id="2"/>
    </w:p>
    <w:p w14:paraId="0976C55F" w14:textId="77777777" w:rsidR="00E96538" w:rsidRDefault="00E96538" w:rsidP="00E96538">
      <w:pPr>
        <w:pStyle w:val="Heading2"/>
      </w:pPr>
      <w:bookmarkStart w:id="3" w:name="_Toc160094251"/>
      <w:r>
        <w:t>Contact Information</w:t>
      </w:r>
      <w:bookmarkEnd w:id="3"/>
    </w:p>
    <w:p w14:paraId="2C7E7BF8"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0B66A440" w14:textId="77777777" w:rsidR="00E96538" w:rsidRDefault="00E96538" w:rsidP="00E96538">
      <w:pPr>
        <w:ind w:left="720" w:firstLine="720"/>
      </w:pPr>
      <w:r w:rsidRPr="00AB31A0">
        <w:rPr>
          <w:b/>
          <w:u w:val="single"/>
        </w:rPr>
        <w:t>Coordinating Buye</w:t>
      </w:r>
      <w:r w:rsidRPr="00AB31A0">
        <w:rPr>
          <w:u w:val="single"/>
        </w:rPr>
        <w:t>r</w:t>
      </w:r>
      <w:r w:rsidRPr="005D43B5">
        <w:t>:</w:t>
      </w:r>
    </w:p>
    <w:p w14:paraId="7BB7E5D7" w14:textId="39C4AE2B" w:rsidR="00E96538" w:rsidRDefault="008A7C84" w:rsidP="00E96538">
      <w:pPr>
        <w:spacing w:before="120" w:after="120"/>
        <w:ind w:left="1440" w:firstLine="720"/>
        <w:rPr>
          <w:sz w:val="24"/>
          <w:szCs w:val="24"/>
        </w:rPr>
      </w:pPr>
      <w:r>
        <w:rPr>
          <w:sz w:val="24"/>
          <w:szCs w:val="24"/>
        </w:rPr>
        <w:t>Name</w:t>
      </w:r>
      <w:r w:rsidRPr="00456200">
        <w:rPr>
          <w:sz w:val="24"/>
          <w:szCs w:val="24"/>
        </w:rPr>
        <w:t xml:space="preserve"> </w:t>
      </w:r>
      <w:r w:rsidRPr="00456200">
        <w:rPr>
          <w:sz w:val="24"/>
          <w:szCs w:val="24"/>
        </w:rPr>
        <w:tab/>
      </w:r>
      <w:r w:rsidR="00E96538">
        <w:rPr>
          <w:sz w:val="24"/>
          <w:szCs w:val="24"/>
        </w:rPr>
        <w:tab/>
      </w:r>
      <w:r w:rsidR="00E96538">
        <w:rPr>
          <w:sz w:val="24"/>
          <w:szCs w:val="24"/>
        </w:rPr>
        <w:tab/>
      </w:r>
      <w:r w:rsidR="00E96538">
        <w:rPr>
          <w:sz w:val="24"/>
          <w:szCs w:val="24"/>
        </w:rPr>
        <w:tab/>
      </w:r>
      <w:r w:rsidR="00E96538">
        <w:rPr>
          <w:sz w:val="24"/>
          <w:szCs w:val="24"/>
        </w:rPr>
        <w:tab/>
      </w:r>
      <w:r w:rsidR="001A2AE3">
        <w:rPr>
          <w:sz w:val="24"/>
          <w:szCs w:val="24"/>
        </w:rPr>
        <w:t>Matthew Crvelin</w:t>
      </w:r>
    </w:p>
    <w:p w14:paraId="58F96AF4" w14:textId="026D060A"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1A2AE3">
        <w:rPr>
          <w:sz w:val="24"/>
          <w:szCs w:val="24"/>
        </w:rPr>
        <w:t>(716) 501-2190</w:t>
      </w:r>
    </w:p>
    <w:p w14:paraId="73890A99" w14:textId="4CFFC910"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1A2AE3">
        <w:rPr>
          <w:sz w:val="24"/>
          <w:szCs w:val="24"/>
        </w:rPr>
        <w:t>mcrvelin@senecacasinos.com</w:t>
      </w:r>
    </w:p>
    <w:p w14:paraId="6B68885D" w14:textId="77777777" w:rsidR="00E96538" w:rsidRDefault="00E96538" w:rsidP="00E96538">
      <w:pPr>
        <w:pStyle w:val="Heading2"/>
      </w:pPr>
      <w:bookmarkStart w:id="4" w:name="_Toc160094252"/>
      <w:r>
        <w:t>Schedule of Events</w:t>
      </w:r>
      <w:bookmarkEnd w:id="4"/>
    </w:p>
    <w:p w14:paraId="2444507F" w14:textId="243C6A8A"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E64B62">
        <w:rPr>
          <w:sz w:val="24"/>
          <w:szCs w:val="24"/>
        </w:rPr>
        <w:t>3/</w:t>
      </w:r>
      <w:r w:rsidR="009E2EBC">
        <w:rPr>
          <w:sz w:val="24"/>
          <w:szCs w:val="24"/>
        </w:rPr>
        <w:t>11</w:t>
      </w:r>
      <w:r w:rsidR="00E64B62">
        <w:rPr>
          <w:sz w:val="24"/>
          <w:szCs w:val="24"/>
        </w:rPr>
        <w:t>/24</w:t>
      </w:r>
    </w:p>
    <w:p w14:paraId="38968418" w14:textId="1B524765" w:rsidR="00E64B62" w:rsidRDefault="00E64B62" w:rsidP="00E96538">
      <w:pPr>
        <w:spacing w:before="120" w:after="120"/>
        <w:ind w:left="1440" w:firstLine="720"/>
        <w:rPr>
          <w:sz w:val="24"/>
          <w:szCs w:val="24"/>
        </w:rPr>
      </w:pPr>
      <w:r>
        <w:rPr>
          <w:sz w:val="24"/>
          <w:szCs w:val="24"/>
        </w:rPr>
        <w:t>Notification of intent to bid due:</w:t>
      </w:r>
      <w:r>
        <w:rPr>
          <w:sz w:val="24"/>
          <w:szCs w:val="24"/>
        </w:rPr>
        <w:tab/>
        <w:t>3/15/24</w:t>
      </w:r>
    </w:p>
    <w:p w14:paraId="6BD0E396" w14:textId="2D4CE0B7"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E64B62">
        <w:rPr>
          <w:sz w:val="24"/>
          <w:szCs w:val="24"/>
        </w:rPr>
        <w:t>3/15/24</w:t>
      </w:r>
    </w:p>
    <w:p w14:paraId="47B7EE53" w14:textId="6AAEADBB"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9F707B">
        <w:rPr>
          <w:b/>
          <w:sz w:val="24"/>
          <w:szCs w:val="24"/>
        </w:rPr>
        <w:t>4</w:t>
      </w:r>
      <w:r w:rsidR="00E64B62">
        <w:rPr>
          <w:b/>
          <w:sz w:val="24"/>
          <w:szCs w:val="24"/>
        </w:rPr>
        <w:t>/</w:t>
      </w:r>
      <w:r w:rsidR="009F707B">
        <w:rPr>
          <w:b/>
          <w:sz w:val="24"/>
          <w:szCs w:val="24"/>
        </w:rPr>
        <w:t>10</w:t>
      </w:r>
      <w:r w:rsidR="00E64B62">
        <w:rPr>
          <w:b/>
          <w:sz w:val="24"/>
          <w:szCs w:val="24"/>
        </w:rPr>
        <w:t>/24</w:t>
      </w:r>
      <w:r w:rsidRPr="00AB31A0">
        <w:rPr>
          <w:b/>
          <w:sz w:val="24"/>
          <w:szCs w:val="24"/>
        </w:rPr>
        <w:t xml:space="preserve"> by 5:00 PM Eastern Time</w:t>
      </w:r>
    </w:p>
    <w:p w14:paraId="763EB14D" w14:textId="77777777" w:rsidR="00E96538" w:rsidRDefault="00E96538" w:rsidP="00E96538">
      <w:pPr>
        <w:pStyle w:val="Heading2"/>
        <w:rPr>
          <w:rFonts w:eastAsia="Times New Roman"/>
        </w:rPr>
      </w:pPr>
      <w:bookmarkStart w:id="5" w:name="_Toc160094253"/>
      <w:r>
        <w:rPr>
          <w:rFonts w:eastAsia="Times New Roman"/>
        </w:rPr>
        <w:t>Intent to Bid</w:t>
      </w:r>
      <w:bookmarkEnd w:id="5"/>
    </w:p>
    <w:p w14:paraId="5E24DE4B"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4770BEE2"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4B57C38F" w14:textId="77777777" w:rsidR="00E96538" w:rsidRPr="00CC3D40" w:rsidRDefault="00E96538" w:rsidP="00E96538">
      <w:pPr>
        <w:pStyle w:val="Heading2"/>
        <w:rPr>
          <w:rFonts w:eastAsia="Times New Roman"/>
        </w:rPr>
      </w:pPr>
      <w:bookmarkStart w:id="6" w:name="_Toc160094254"/>
      <w:r>
        <w:rPr>
          <w:rFonts w:eastAsia="Times New Roman"/>
        </w:rPr>
        <w:lastRenderedPageBreak/>
        <w:t xml:space="preserve">Bidder </w:t>
      </w:r>
      <w:r w:rsidRPr="00CC3D40">
        <w:rPr>
          <w:rFonts w:eastAsia="Times New Roman"/>
        </w:rPr>
        <w:t>Questions</w:t>
      </w:r>
      <w:bookmarkEnd w:id="6"/>
    </w:p>
    <w:p w14:paraId="00F62E87"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7F63A1E5"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2C46B884" w14:textId="77777777" w:rsidR="00456E00" w:rsidRPr="00CC3D40" w:rsidRDefault="00456E00" w:rsidP="00456E00">
      <w:pPr>
        <w:pStyle w:val="Heading2"/>
        <w:rPr>
          <w:rFonts w:eastAsia="Times New Roman"/>
        </w:rPr>
      </w:pPr>
      <w:bookmarkStart w:id="7" w:name="_Toc17728971"/>
      <w:bookmarkStart w:id="8" w:name="_Toc160094255"/>
      <w:r w:rsidRPr="00CC3D40">
        <w:rPr>
          <w:rFonts w:eastAsia="Times New Roman"/>
        </w:rPr>
        <w:t>Submission of Proposals</w:t>
      </w:r>
      <w:bookmarkEnd w:id="7"/>
      <w:bookmarkEnd w:id="8"/>
    </w:p>
    <w:p w14:paraId="30217BBE" w14:textId="4C2358F9"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1A2AE3">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14:paraId="0F94EF0F"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44567DF9" w14:textId="4ACDC139" w:rsidR="00834241" w:rsidRPr="00313EAB" w:rsidRDefault="00834241" w:rsidP="00A93508">
      <w:pPr>
        <w:pStyle w:val="Heading2"/>
      </w:pPr>
      <w:bookmarkStart w:id="9" w:name="_Toc160094256"/>
      <w:r w:rsidRPr="00313EAB">
        <w:t>Bidder Representations and Certifications</w:t>
      </w:r>
      <w:bookmarkEnd w:id="9"/>
    </w:p>
    <w:p w14:paraId="452B8AFB"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61F665AE" w14:textId="3DFB4712" w:rsidR="00834241" w:rsidRPr="00FB7F88" w:rsidRDefault="00834241" w:rsidP="00A93508">
      <w:pPr>
        <w:pStyle w:val="Heading2"/>
      </w:pPr>
      <w:bookmarkStart w:id="10" w:name="_Toc160094257"/>
      <w:r w:rsidRPr="00FB7F88">
        <w:t>Evidence of Insurance</w:t>
      </w:r>
      <w:bookmarkEnd w:id="10"/>
    </w:p>
    <w:p w14:paraId="44A7B594"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70EDC1C9"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6C301FBF" w14:textId="77777777"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0D3ED99A" w14:textId="77777777" w:rsidR="00834241" w:rsidRPr="00FB7F88" w:rsidRDefault="00834241" w:rsidP="00834241">
      <w:pPr>
        <w:spacing w:after="120"/>
        <w:ind w:left="720" w:firstLine="720"/>
        <w:rPr>
          <w:u w:val="single"/>
        </w:rPr>
      </w:pPr>
      <w:r w:rsidRPr="00FB7F88">
        <w:rPr>
          <w:u w:val="single"/>
        </w:rPr>
        <w:t>Appendix-B:  Standard Agreements</w:t>
      </w:r>
    </w:p>
    <w:p w14:paraId="3F2E9C1F"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7A282D6C" w14:textId="77777777" w:rsidR="00E96538" w:rsidRPr="00325DC1" w:rsidRDefault="00E96538" w:rsidP="00E96538">
      <w:pPr>
        <w:pStyle w:val="Heading2"/>
        <w:rPr>
          <w:rFonts w:eastAsia="Times New Roman"/>
        </w:rPr>
      </w:pPr>
      <w:bookmarkStart w:id="11" w:name="_Toc160094258"/>
      <w:r w:rsidRPr="00325DC1">
        <w:rPr>
          <w:rFonts w:eastAsia="Times New Roman"/>
        </w:rPr>
        <w:lastRenderedPageBreak/>
        <w:t>Propo</w:t>
      </w:r>
      <w:r>
        <w:rPr>
          <w:rFonts w:eastAsia="Times New Roman"/>
        </w:rPr>
        <w:t>sal Evaluation/Vendor Selection</w:t>
      </w:r>
      <w:bookmarkEnd w:id="11"/>
    </w:p>
    <w:p w14:paraId="7263721B"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C1D68F9"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3F50F957"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207A5334" w14:textId="77777777" w:rsidR="00E96538" w:rsidRDefault="00E96538" w:rsidP="00E96538">
      <w:pPr>
        <w:pStyle w:val="Heading2"/>
        <w:rPr>
          <w:rFonts w:eastAsia="Times New Roman"/>
        </w:rPr>
      </w:pPr>
      <w:bookmarkStart w:id="12" w:name="_Toc160094259"/>
      <w:r>
        <w:rPr>
          <w:rFonts w:eastAsia="Times New Roman"/>
        </w:rPr>
        <w:t>General Bidder Information</w:t>
      </w:r>
      <w:bookmarkEnd w:id="12"/>
    </w:p>
    <w:p w14:paraId="0FD6A824"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38FD3409"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4C217A2"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5117DF1"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0B19431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32FC091"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w:t>
      </w:r>
      <w:r w:rsidRPr="00EA5550">
        <w:rPr>
          <w:rFonts w:eastAsia="Times New Roman" w:cstheme="minorHAnsi"/>
          <w:i/>
        </w:rPr>
        <w:lastRenderedPageBreak/>
        <w:t xml:space="preserve">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39FB5424"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79D7BE45" w14:textId="77777777" w:rsidR="00E96538" w:rsidRPr="00961C9F" w:rsidRDefault="00E96538" w:rsidP="00E96538">
      <w:pPr>
        <w:pStyle w:val="Heading2"/>
        <w:rPr>
          <w:rFonts w:eastAsia="Times New Roman"/>
        </w:rPr>
      </w:pPr>
      <w:bookmarkStart w:id="13" w:name="_Toc160094260"/>
      <w:r w:rsidRPr="00961C9F">
        <w:rPr>
          <w:rFonts w:eastAsia="Times New Roman"/>
        </w:rPr>
        <w:t>SGC Standard Terms and Conditions</w:t>
      </w:r>
      <w:bookmarkEnd w:id="13"/>
    </w:p>
    <w:p w14:paraId="64AB4B0F"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1A6B712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26E1359F" w14:textId="77777777" w:rsidR="00E96538" w:rsidRPr="00D059D0" w:rsidRDefault="00E96538" w:rsidP="00E96538">
      <w:pPr>
        <w:pStyle w:val="Heading1"/>
        <w:rPr>
          <w:rFonts w:eastAsia="Times New Roman"/>
        </w:rPr>
      </w:pPr>
      <w:bookmarkStart w:id="14" w:name="_Toc160094261"/>
      <w:r w:rsidRPr="00D059D0">
        <w:rPr>
          <w:rFonts w:eastAsia="Times New Roman"/>
        </w:rPr>
        <w:t>Provisions Applicable to the Contract</w:t>
      </w:r>
      <w:bookmarkEnd w:id="14"/>
    </w:p>
    <w:p w14:paraId="28D2D4AD" w14:textId="77777777" w:rsidR="00E96538" w:rsidRDefault="00E96538" w:rsidP="00E96538">
      <w:pPr>
        <w:pStyle w:val="Heading2"/>
        <w:rPr>
          <w:rFonts w:eastAsia="Times New Roman"/>
        </w:rPr>
      </w:pPr>
      <w:bookmarkStart w:id="15" w:name="_Toc160094262"/>
      <w:r>
        <w:rPr>
          <w:rFonts w:eastAsia="Times New Roman"/>
        </w:rPr>
        <w:t>Agreement Term</w:t>
      </w:r>
      <w:bookmarkEnd w:id="15"/>
    </w:p>
    <w:p w14:paraId="3B35C85D" w14:textId="207A5722" w:rsidR="00E96538" w:rsidRPr="00EA5550" w:rsidRDefault="00E96538" w:rsidP="00E96538">
      <w:pPr>
        <w:spacing w:after="0"/>
        <w:ind w:left="1440"/>
        <w:jc w:val="both"/>
      </w:pPr>
      <w:r w:rsidRPr="00EA5550">
        <w:t>The initial term of the contract will be</w:t>
      </w:r>
      <w:r w:rsidR="00A93508">
        <w:t xml:space="preserve"> three (3) years, </w:t>
      </w:r>
      <w:r w:rsidRPr="00EA5550">
        <w:t>with</w:t>
      </w:r>
      <w:r w:rsidR="00A93508">
        <w:t xml:space="preserve"> two (2) </w:t>
      </w:r>
      <w:r w:rsidRPr="00EA5550">
        <w:t xml:space="preserve">options to renew in favor of SGC, each </w:t>
      </w:r>
      <w:r w:rsidR="00A93508">
        <w:t xml:space="preserve">one </w:t>
      </w:r>
      <w:r w:rsidRPr="00EA5550">
        <w:t xml:space="preserve">(1) year in duration (each a renewal term). </w:t>
      </w:r>
    </w:p>
    <w:p w14:paraId="1954779F"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587DCE73" w14:textId="77777777" w:rsidR="00E96538" w:rsidRDefault="00E96538" w:rsidP="00E96538">
      <w:pPr>
        <w:pStyle w:val="Heading2"/>
      </w:pPr>
      <w:bookmarkStart w:id="16" w:name="_Toc160094263"/>
      <w:r>
        <w:t>Requirements</w:t>
      </w:r>
      <w:r w:rsidR="004D32F5">
        <w:t xml:space="preserve"> Specification</w:t>
      </w:r>
      <w:bookmarkEnd w:id="16"/>
    </w:p>
    <w:p w14:paraId="37C41722" w14:textId="7E19063D" w:rsidR="006D5F9C" w:rsidRDefault="006D5F9C" w:rsidP="006D5F9C">
      <w:pPr>
        <w:ind w:left="1440"/>
        <w:rPr>
          <w:bCs/>
          <w:iCs/>
        </w:rPr>
      </w:pPr>
      <w:r w:rsidRPr="006D5F9C">
        <w:rPr>
          <w:bCs/>
          <w:iCs/>
        </w:rPr>
        <w:t xml:space="preserve">The enclosed details related to the goods and/or services in this RFQ are based upon the operating department’s requirements.  </w:t>
      </w:r>
    </w:p>
    <w:p w14:paraId="0361B0AA" w14:textId="3A3063CC" w:rsidR="00956F1B" w:rsidRDefault="00956F1B" w:rsidP="00FD3733">
      <w:pPr>
        <w:ind w:left="1440"/>
        <w:rPr>
          <w:bCs/>
          <w:iCs/>
        </w:rPr>
      </w:pPr>
      <w:r>
        <w:rPr>
          <w:bCs/>
          <w:iCs/>
        </w:rPr>
        <w:t>SGC is</w:t>
      </w:r>
      <w:r w:rsidRPr="00956F1B">
        <w:rPr>
          <w:bCs/>
          <w:iCs/>
        </w:rPr>
        <w:t xml:space="preserve"> </w:t>
      </w:r>
      <w:r>
        <w:rPr>
          <w:bCs/>
          <w:iCs/>
        </w:rPr>
        <w:t xml:space="preserve">requesting </w:t>
      </w:r>
      <w:r w:rsidRPr="00956F1B">
        <w:rPr>
          <w:bCs/>
          <w:iCs/>
        </w:rPr>
        <w:t xml:space="preserve">quotes </w:t>
      </w:r>
      <w:r w:rsidR="00FD3733">
        <w:rPr>
          <w:bCs/>
          <w:iCs/>
        </w:rPr>
        <w:t>for</w:t>
      </w:r>
      <w:r w:rsidRPr="00956F1B">
        <w:rPr>
          <w:bCs/>
          <w:iCs/>
        </w:rPr>
        <w:t xml:space="preserve">, but not limited to, </w:t>
      </w:r>
      <w:r w:rsidR="00FD3733">
        <w:rPr>
          <w:bCs/>
          <w:iCs/>
        </w:rPr>
        <w:t>s</w:t>
      </w:r>
      <w:r w:rsidRPr="00956F1B">
        <w:rPr>
          <w:bCs/>
          <w:iCs/>
        </w:rPr>
        <w:t>hampoo</w:t>
      </w:r>
      <w:r w:rsidR="00FD3733">
        <w:rPr>
          <w:bCs/>
          <w:iCs/>
        </w:rPr>
        <w:t>, c</w:t>
      </w:r>
      <w:r w:rsidRPr="00956F1B">
        <w:rPr>
          <w:bCs/>
          <w:iCs/>
        </w:rPr>
        <w:t>onditioner</w:t>
      </w:r>
      <w:r w:rsidR="00FD3733">
        <w:rPr>
          <w:bCs/>
          <w:iCs/>
        </w:rPr>
        <w:t>, s</w:t>
      </w:r>
      <w:r w:rsidRPr="00956F1B">
        <w:rPr>
          <w:bCs/>
          <w:iCs/>
        </w:rPr>
        <w:t xml:space="preserve">hower </w:t>
      </w:r>
      <w:r w:rsidR="00FD3733">
        <w:rPr>
          <w:bCs/>
          <w:iCs/>
        </w:rPr>
        <w:t>g</w:t>
      </w:r>
      <w:r w:rsidRPr="00956F1B">
        <w:rPr>
          <w:bCs/>
          <w:iCs/>
        </w:rPr>
        <w:t>el</w:t>
      </w:r>
      <w:r w:rsidR="00FD3733">
        <w:rPr>
          <w:bCs/>
          <w:iCs/>
        </w:rPr>
        <w:t>, b</w:t>
      </w:r>
      <w:r w:rsidRPr="00956F1B">
        <w:rPr>
          <w:bCs/>
          <w:iCs/>
        </w:rPr>
        <w:t xml:space="preserve">ody </w:t>
      </w:r>
      <w:r w:rsidR="00FD3733">
        <w:rPr>
          <w:bCs/>
          <w:iCs/>
        </w:rPr>
        <w:t>l</w:t>
      </w:r>
      <w:r w:rsidRPr="00956F1B">
        <w:rPr>
          <w:bCs/>
          <w:iCs/>
        </w:rPr>
        <w:t>otion</w:t>
      </w:r>
      <w:r w:rsidR="00FD3733">
        <w:rPr>
          <w:bCs/>
          <w:iCs/>
        </w:rPr>
        <w:t>, m</w:t>
      </w:r>
      <w:r w:rsidRPr="00956F1B">
        <w:rPr>
          <w:bCs/>
          <w:iCs/>
        </w:rPr>
        <w:t xml:space="preserve">oisturizing </w:t>
      </w:r>
      <w:r w:rsidR="00FD3733">
        <w:rPr>
          <w:bCs/>
          <w:iCs/>
        </w:rPr>
        <w:t>s</w:t>
      </w:r>
      <w:r w:rsidRPr="00956F1B">
        <w:rPr>
          <w:bCs/>
          <w:iCs/>
        </w:rPr>
        <w:t xml:space="preserve">kin </w:t>
      </w:r>
      <w:r w:rsidR="00FD3733">
        <w:rPr>
          <w:bCs/>
          <w:iCs/>
        </w:rPr>
        <w:t>c</w:t>
      </w:r>
      <w:r w:rsidRPr="00956F1B">
        <w:rPr>
          <w:bCs/>
          <w:iCs/>
        </w:rPr>
        <w:t xml:space="preserve">are </w:t>
      </w:r>
      <w:r w:rsidR="00FD3733">
        <w:rPr>
          <w:bCs/>
          <w:iCs/>
        </w:rPr>
        <w:t>b</w:t>
      </w:r>
      <w:r w:rsidRPr="00956F1B">
        <w:rPr>
          <w:bCs/>
          <w:iCs/>
        </w:rPr>
        <w:t>ar</w:t>
      </w:r>
      <w:r w:rsidR="00FD3733">
        <w:rPr>
          <w:bCs/>
          <w:iCs/>
        </w:rPr>
        <w:t>s, s</w:t>
      </w:r>
      <w:r w:rsidRPr="00956F1B">
        <w:rPr>
          <w:bCs/>
          <w:iCs/>
        </w:rPr>
        <w:t xml:space="preserve">hoe </w:t>
      </w:r>
      <w:r w:rsidR="00FD3733">
        <w:rPr>
          <w:bCs/>
          <w:iCs/>
        </w:rPr>
        <w:t>m</w:t>
      </w:r>
      <w:r w:rsidRPr="00956F1B">
        <w:rPr>
          <w:bCs/>
          <w:iCs/>
        </w:rPr>
        <w:t>itt</w:t>
      </w:r>
      <w:r w:rsidR="00FD3733">
        <w:rPr>
          <w:bCs/>
          <w:iCs/>
        </w:rPr>
        <w:t xml:space="preserve">s, vanity kits, bath salts, mending kits, loofah sponges, and shower caps. </w:t>
      </w:r>
      <w:r w:rsidR="00193921">
        <w:rPr>
          <w:bCs/>
          <w:iCs/>
        </w:rPr>
        <w:t>Requirements can be found in the</w:t>
      </w:r>
      <w:r w:rsidR="00193921" w:rsidRPr="00193921">
        <w:rPr>
          <w:b/>
          <w:i/>
        </w:rPr>
        <w:t xml:space="preserve"> </w:t>
      </w:r>
      <w:r w:rsidR="00193921" w:rsidRPr="00E64B62">
        <w:rPr>
          <w:bCs/>
          <w:i/>
          <w:u w:val="single"/>
        </w:rPr>
        <w:t xml:space="preserve">‘General Requirements; Soaps &amp; Lotions’ </w:t>
      </w:r>
      <w:r w:rsidR="00193921">
        <w:rPr>
          <w:bCs/>
          <w:iCs/>
        </w:rPr>
        <w:t xml:space="preserve">section (page 6). </w:t>
      </w:r>
    </w:p>
    <w:p w14:paraId="5AC2ABAA" w14:textId="6E2F04DC" w:rsidR="00193921" w:rsidRDefault="00193921" w:rsidP="00FD3733">
      <w:pPr>
        <w:ind w:left="1440"/>
        <w:rPr>
          <w:bCs/>
          <w:iCs/>
        </w:rPr>
      </w:pPr>
      <w:r>
        <w:rPr>
          <w:bCs/>
          <w:iCs/>
        </w:rPr>
        <w:t xml:space="preserve">SGC is also interested in quotes for all </w:t>
      </w:r>
      <w:r w:rsidR="00E64B62">
        <w:rPr>
          <w:bCs/>
          <w:iCs/>
        </w:rPr>
        <w:t>other</w:t>
      </w:r>
      <w:r>
        <w:rPr>
          <w:bCs/>
          <w:iCs/>
        </w:rPr>
        <w:t xml:space="preserve"> guest room amenities, which includes, but is not limited to, </w:t>
      </w:r>
      <w:r w:rsidRPr="00193921">
        <w:rPr>
          <w:bCs/>
          <w:iCs/>
        </w:rPr>
        <w:t>toothpaste, tooth brushes, mouthwash, irons, ironing boards, hair dryers, etc.</w:t>
      </w:r>
      <w:r>
        <w:rPr>
          <w:bCs/>
          <w:iCs/>
        </w:rPr>
        <w:t xml:space="preserve"> Requirements can be found in the </w:t>
      </w:r>
      <w:r w:rsidRPr="00E64B62">
        <w:rPr>
          <w:bCs/>
          <w:i/>
          <w:u w:val="single"/>
        </w:rPr>
        <w:t xml:space="preserve">‘General Requirements; </w:t>
      </w:r>
      <w:r w:rsidR="00D44FBF" w:rsidRPr="00E64B62">
        <w:rPr>
          <w:bCs/>
          <w:i/>
          <w:u w:val="single"/>
        </w:rPr>
        <w:t xml:space="preserve">Other </w:t>
      </w:r>
      <w:r w:rsidRPr="00E64B62">
        <w:rPr>
          <w:bCs/>
          <w:i/>
          <w:u w:val="single"/>
        </w:rPr>
        <w:t>Amenities’</w:t>
      </w:r>
      <w:r w:rsidRPr="00193921">
        <w:rPr>
          <w:b/>
          <w:i/>
        </w:rPr>
        <w:t xml:space="preserve"> </w:t>
      </w:r>
      <w:r>
        <w:rPr>
          <w:bCs/>
          <w:iCs/>
        </w:rPr>
        <w:t xml:space="preserve">section (page 7). </w:t>
      </w:r>
    </w:p>
    <w:p w14:paraId="0C0DAC0A" w14:textId="1CDA4F6E" w:rsidR="00D06362" w:rsidRPr="00956F1B" w:rsidRDefault="00D06362" w:rsidP="00D06362">
      <w:pPr>
        <w:ind w:left="1440"/>
        <w:rPr>
          <w:bCs/>
          <w:iCs/>
        </w:rPr>
      </w:pPr>
      <w:r>
        <w:rPr>
          <w:bCs/>
          <w:iCs/>
        </w:rPr>
        <w:t xml:space="preserve">Bidders are not required to submit proposals for both categories. </w:t>
      </w:r>
    </w:p>
    <w:p w14:paraId="16AC5646" w14:textId="77777777" w:rsidR="00005E0F" w:rsidRPr="00956F1B" w:rsidRDefault="00005E0F" w:rsidP="00005E0F">
      <w:pPr>
        <w:spacing w:after="0"/>
        <w:ind w:left="1440"/>
        <w:jc w:val="both"/>
        <w:rPr>
          <w:b/>
          <w:iCs/>
        </w:rPr>
      </w:pPr>
      <w:r w:rsidRPr="00956F1B">
        <w:rPr>
          <w:b/>
          <w:iCs/>
        </w:rPr>
        <w:t>EXHIBIT A</w:t>
      </w:r>
    </w:p>
    <w:p w14:paraId="6C7674AC" w14:textId="2B1D8409" w:rsidR="00005E0F" w:rsidRDefault="00005E0F" w:rsidP="00AE4851">
      <w:pPr>
        <w:spacing w:after="0"/>
        <w:ind w:left="1440"/>
        <w:jc w:val="both"/>
        <w:rPr>
          <w:bCs/>
          <w:iCs/>
        </w:rPr>
      </w:pPr>
      <w:r w:rsidRPr="009B5065">
        <w:rPr>
          <w:bCs/>
          <w:iCs/>
        </w:rPr>
        <w:t xml:space="preserve">Please see the attachment </w:t>
      </w:r>
      <w:r w:rsidRPr="00AE4851">
        <w:rPr>
          <w:bCs/>
          <w:iCs/>
        </w:rPr>
        <w:t xml:space="preserve">‘Exhibit A – </w:t>
      </w:r>
      <w:r w:rsidR="00AE4851" w:rsidRPr="00AE4851">
        <w:rPr>
          <w:bCs/>
          <w:iCs/>
        </w:rPr>
        <w:t>#</w:t>
      </w:r>
      <w:r w:rsidRPr="00AE4851">
        <w:rPr>
          <w:bCs/>
          <w:iCs/>
        </w:rPr>
        <w:t>SGC-00</w:t>
      </w:r>
      <w:r w:rsidR="00AE4851" w:rsidRPr="00AE4851">
        <w:rPr>
          <w:bCs/>
          <w:iCs/>
        </w:rPr>
        <w:t>22</w:t>
      </w:r>
      <w:r w:rsidRPr="00AE4851">
        <w:rPr>
          <w:bCs/>
          <w:iCs/>
        </w:rPr>
        <w:t xml:space="preserve">-24MC Hotel </w:t>
      </w:r>
      <w:r w:rsidR="00AE4851" w:rsidRPr="00AE4851">
        <w:rPr>
          <w:bCs/>
          <w:iCs/>
        </w:rPr>
        <w:t xml:space="preserve">Guest Room Amenities’ </w:t>
      </w:r>
      <w:r w:rsidRPr="00AE4851">
        <w:rPr>
          <w:bCs/>
          <w:iCs/>
        </w:rPr>
        <w:t xml:space="preserve">for questions and requirements related to this RFP. The spreadsheet contains </w:t>
      </w:r>
      <w:r w:rsidR="00AE4851">
        <w:rPr>
          <w:bCs/>
          <w:iCs/>
        </w:rPr>
        <w:t xml:space="preserve">six (6) tabs. </w:t>
      </w:r>
      <w:r w:rsidRPr="00E64B62">
        <w:rPr>
          <w:bCs/>
          <w:iCs/>
          <w:u w:val="single"/>
        </w:rPr>
        <w:t>This document must be completed and returned with your bid</w:t>
      </w:r>
      <w:r w:rsidRPr="00E64B62">
        <w:rPr>
          <w:bCs/>
          <w:iCs/>
        </w:rPr>
        <w:t>.</w:t>
      </w:r>
      <w:r w:rsidRPr="009B5065">
        <w:rPr>
          <w:bCs/>
          <w:iCs/>
        </w:rPr>
        <w:t xml:space="preserve"> </w:t>
      </w:r>
      <w:r w:rsidR="00AE4851" w:rsidRPr="00AE4851">
        <w:rPr>
          <w:bCs/>
          <w:iCs/>
        </w:rPr>
        <w:t xml:space="preserve">All pricing submitted must </w:t>
      </w:r>
      <w:r w:rsidR="00AE4851" w:rsidRPr="00AE4851">
        <w:rPr>
          <w:bCs/>
          <w:iCs/>
        </w:rPr>
        <w:lastRenderedPageBreak/>
        <w:t>be included in the spreadsheet; no changes to</w:t>
      </w:r>
      <w:r w:rsidR="00AE4851">
        <w:rPr>
          <w:bCs/>
          <w:iCs/>
        </w:rPr>
        <w:t xml:space="preserve"> the</w:t>
      </w:r>
      <w:r w:rsidR="00AE4851" w:rsidRPr="00AE4851">
        <w:rPr>
          <w:bCs/>
          <w:iCs/>
        </w:rPr>
        <w:t xml:space="preserve"> format are permitted. Failure to comply may disqualify your bid proposal.</w:t>
      </w:r>
    </w:p>
    <w:p w14:paraId="1766E1FF" w14:textId="32AA13DC" w:rsidR="00005E0F" w:rsidRDefault="00AE4851" w:rsidP="00005E0F">
      <w:pPr>
        <w:pStyle w:val="ListParagraph"/>
        <w:numPr>
          <w:ilvl w:val="0"/>
          <w:numId w:val="9"/>
        </w:numPr>
        <w:jc w:val="both"/>
        <w:rPr>
          <w:bCs/>
          <w:iCs/>
        </w:rPr>
      </w:pPr>
      <w:r w:rsidRPr="005406C8">
        <w:rPr>
          <w:b/>
          <w:iCs/>
        </w:rPr>
        <w:t xml:space="preserve">Tab 1 – </w:t>
      </w:r>
      <w:r w:rsidR="00005E0F" w:rsidRPr="005406C8">
        <w:rPr>
          <w:b/>
          <w:iCs/>
        </w:rPr>
        <w:t>Instructions:</w:t>
      </w:r>
      <w:r w:rsidR="00005E0F" w:rsidRPr="009B5065">
        <w:rPr>
          <w:bCs/>
          <w:iCs/>
        </w:rPr>
        <w:t xml:space="preserve"> Bidder feedback is not required on this tab. </w:t>
      </w:r>
    </w:p>
    <w:p w14:paraId="60F8C2AF" w14:textId="6EA8B1EE" w:rsidR="00005E0F" w:rsidRDefault="00AE4851" w:rsidP="00005E0F">
      <w:pPr>
        <w:pStyle w:val="ListParagraph"/>
        <w:numPr>
          <w:ilvl w:val="0"/>
          <w:numId w:val="9"/>
        </w:numPr>
        <w:jc w:val="both"/>
        <w:rPr>
          <w:bCs/>
          <w:iCs/>
        </w:rPr>
      </w:pPr>
      <w:r w:rsidRPr="005406C8">
        <w:rPr>
          <w:b/>
          <w:iCs/>
        </w:rPr>
        <w:t xml:space="preserve">Tab 2 – </w:t>
      </w:r>
      <w:r w:rsidR="00005E0F" w:rsidRPr="005406C8">
        <w:rPr>
          <w:b/>
          <w:iCs/>
        </w:rPr>
        <w:t xml:space="preserve">Bidder Overview: </w:t>
      </w:r>
      <w:r w:rsidR="00005E0F" w:rsidRPr="009B5065">
        <w:rPr>
          <w:bCs/>
          <w:iCs/>
        </w:rPr>
        <w:t>Seeks basic information regarding your company.</w:t>
      </w:r>
    </w:p>
    <w:p w14:paraId="4251A59E" w14:textId="3AFD718B" w:rsidR="00005E0F" w:rsidRDefault="00AE4851" w:rsidP="00005E0F">
      <w:pPr>
        <w:pStyle w:val="ListParagraph"/>
        <w:numPr>
          <w:ilvl w:val="0"/>
          <w:numId w:val="9"/>
        </w:numPr>
        <w:jc w:val="both"/>
        <w:rPr>
          <w:bCs/>
          <w:iCs/>
        </w:rPr>
      </w:pPr>
      <w:r w:rsidRPr="005406C8">
        <w:rPr>
          <w:b/>
          <w:iCs/>
        </w:rPr>
        <w:t xml:space="preserve">Tab 3 – </w:t>
      </w:r>
      <w:r w:rsidR="00005E0F" w:rsidRPr="005406C8">
        <w:rPr>
          <w:b/>
          <w:iCs/>
        </w:rPr>
        <w:t>References:</w:t>
      </w:r>
      <w:r w:rsidR="00005E0F" w:rsidRPr="009B5065">
        <w:rPr>
          <w:bCs/>
          <w:iCs/>
        </w:rPr>
        <w:t xml:space="preserve"> If possible, references should be casino and casino-resort clients.</w:t>
      </w:r>
    </w:p>
    <w:p w14:paraId="514B6368" w14:textId="30E133ED" w:rsidR="00005E0F" w:rsidRDefault="00AE4851" w:rsidP="00005E0F">
      <w:pPr>
        <w:pStyle w:val="ListParagraph"/>
        <w:numPr>
          <w:ilvl w:val="0"/>
          <w:numId w:val="9"/>
        </w:numPr>
        <w:jc w:val="both"/>
        <w:rPr>
          <w:bCs/>
          <w:iCs/>
        </w:rPr>
      </w:pPr>
      <w:r w:rsidRPr="005406C8">
        <w:rPr>
          <w:b/>
          <w:iCs/>
        </w:rPr>
        <w:t>Tab 4 – Qu</w:t>
      </w:r>
      <w:r w:rsidR="00005E0F" w:rsidRPr="005406C8">
        <w:rPr>
          <w:b/>
          <w:iCs/>
        </w:rPr>
        <w:t>estionnaire:</w:t>
      </w:r>
      <w:r w:rsidR="00005E0F" w:rsidRPr="009B5065">
        <w:rPr>
          <w:bCs/>
          <w:iCs/>
        </w:rPr>
        <w:t xml:space="preserve"> Seeks feedback to questions related to your company, its products, your proposal, etc.</w:t>
      </w:r>
    </w:p>
    <w:p w14:paraId="543171C9" w14:textId="6FB45B95" w:rsidR="00005E0F" w:rsidRDefault="00AE4851" w:rsidP="00005E0F">
      <w:pPr>
        <w:pStyle w:val="ListParagraph"/>
        <w:numPr>
          <w:ilvl w:val="0"/>
          <w:numId w:val="9"/>
        </w:numPr>
        <w:rPr>
          <w:bCs/>
          <w:iCs/>
        </w:rPr>
      </w:pPr>
      <w:r w:rsidRPr="005406C8">
        <w:rPr>
          <w:b/>
          <w:iCs/>
        </w:rPr>
        <w:t>Tab 5 – Soaps &amp; Lotions</w:t>
      </w:r>
      <w:r w:rsidR="00005E0F" w:rsidRPr="005406C8">
        <w:rPr>
          <w:b/>
          <w:iCs/>
        </w:rPr>
        <w:t>:</w:t>
      </w:r>
      <w:r w:rsidR="00005E0F" w:rsidRPr="00F74779">
        <w:rPr>
          <w:bCs/>
          <w:iCs/>
        </w:rPr>
        <w:t xml:space="preserve"> </w:t>
      </w:r>
      <w:r>
        <w:rPr>
          <w:bCs/>
          <w:iCs/>
        </w:rPr>
        <w:t xml:space="preserve">Seeks </w:t>
      </w:r>
      <w:r w:rsidR="005406C8">
        <w:rPr>
          <w:bCs/>
          <w:iCs/>
        </w:rPr>
        <w:t xml:space="preserve">insight into the total cost of ownership of your proposed solution for soap, shampoo, conditioner, gel, and lotion. </w:t>
      </w:r>
      <w:r w:rsidR="00005E0F" w:rsidRPr="00F74779">
        <w:rPr>
          <w:bCs/>
          <w:iCs/>
        </w:rPr>
        <w:t xml:space="preserve">All pricing submitted must be included in the spreadsheet; no changes to format are permitted. Failure to comply may disqualify your bid proposal. </w:t>
      </w:r>
    </w:p>
    <w:p w14:paraId="07E7002B" w14:textId="588CC8BE" w:rsidR="00005E0F" w:rsidRPr="005406C8" w:rsidRDefault="00005E0F" w:rsidP="00005E0F">
      <w:pPr>
        <w:pStyle w:val="ListParagraph"/>
        <w:numPr>
          <w:ilvl w:val="1"/>
          <w:numId w:val="9"/>
        </w:numPr>
        <w:rPr>
          <w:bCs/>
          <w:iCs/>
        </w:rPr>
      </w:pPr>
      <w:r w:rsidRPr="005406C8">
        <w:rPr>
          <w:bCs/>
          <w:iCs/>
        </w:rPr>
        <w:t xml:space="preserve">Quantities listed represent SGC’s one (1) year usage dating from </w:t>
      </w:r>
      <w:r w:rsidR="005406C8" w:rsidRPr="005406C8">
        <w:rPr>
          <w:bCs/>
          <w:iCs/>
        </w:rPr>
        <w:t xml:space="preserve">January </w:t>
      </w:r>
      <w:r w:rsidRPr="005406C8">
        <w:rPr>
          <w:bCs/>
          <w:iCs/>
        </w:rPr>
        <w:t>1, 202</w:t>
      </w:r>
      <w:r w:rsidR="005406C8" w:rsidRPr="005406C8">
        <w:rPr>
          <w:bCs/>
          <w:iCs/>
        </w:rPr>
        <w:t>3</w:t>
      </w:r>
      <w:r w:rsidRPr="005406C8">
        <w:rPr>
          <w:bCs/>
          <w:iCs/>
        </w:rPr>
        <w:t xml:space="preserve"> through </w:t>
      </w:r>
      <w:r w:rsidR="005406C8" w:rsidRPr="005406C8">
        <w:rPr>
          <w:bCs/>
          <w:iCs/>
        </w:rPr>
        <w:t xml:space="preserve">December </w:t>
      </w:r>
      <w:r w:rsidRPr="005406C8">
        <w:rPr>
          <w:bCs/>
          <w:iCs/>
        </w:rPr>
        <w:t>3</w:t>
      </w:r>
      <w:r w:rsidR="005406C8" w:rsidRPr="005406C8">
        <w:rPr>
          <w:bCs/>
          <w:iCs/>
        </w:rPr>
        <w:t>1</w:t>
      </w:r>
      <w:r w:rsidRPr="005406C8">
        <w:rPr>
          <w:bCs/>
          <w:iCs/>
        </w:rPr>
        <w:t xml:space="preserve">, 2023. </w:t>
      </w:r>
    </w:p>
    <w:p w14:paraId="43FE246C" w14:textId="6E77870D" w:rsidR="00005E0F" w:rsidRDefault="00005E0F" w:rsidP="00005E0F">
      <w:pPr>
        <w:pStyle w:val="ListParagraph"/>
        <w:numPr>
          <w:ilvl w:val="1"/>
          <w:numId w:val="9"/>
        </w:numPr>
        <w:rPr>
          <w:bCs/>
          <w:iCs/>
        </w:rPr>
      </w:pPr>
      <w:r w:rsidRPr="00F74779">
        <w:rPr>
          <w:bCs/>
          <w:iCs/>
        </w:rPr>
        <w:t xml:space="preserve">Quantities provided are </w:t>
      </w:r>
      <w:r>
        <w:rPr>
          <w:bCs/>
          <w:iCs/>
        </w:rPr>
        <w:t>for bidding purposes only</w:t>
      </w:r>
      <w:r w:rsidRPr="00F74779">
        <w:rPr>
          <w:bCs/>
          <w:iCs/>
        </w:rPr>
        <w:t xml:space="preserve"> and </w:t>
      </w:r>
      <w:r>
        <w:rPr>
          <w:bCs/>
          <w:iCs/>
        </w:rPr>
        <w:t xml:space="preserve">are </w:t>
      </w:r>
      <w:r w:rsidRPr="00F74779">
        <w:rPr>
          <w:bCs/>
          <w:iCs/>
        </w:rPr>
        <w:t xml:space="preserve">not a commitment to future purchases. </w:t>
      </w:r>
    </w:p>
    <w:p w14:paraId="7A84FA53" w14:textId="00B7B5DA" w:rsidR="00AE4851" w:rsidRDefault="00AE4851" w:rsidP="00AE4851">
      <w:pPr>
        <w:pStyle w:val="ListParagraph"/>
        <w:numPr>
          <w:ilvl w:val="0"/>
          <w:numId w:val="9"/>
        </w:numPr>
        <w:rPr>
          <w:bCs/>
          <w:iCs/>
        </w:rPr>
      </w:pPr>
      <w:r w:rsidRPr="005406C8">
        <w:rPr>
          <w:b/>
          <w:iCs/>
        </w:rPr>
        <w:t xml:space="preserve">Tab 6 – </w:t>
      </w:r>
      <w:r w:rsidR="00D44FBF">
        <w:rPr>
          <w:b/>
          <w:iCs/>
        </w:rPr>
        <w:t>Other</w:t>
      </w:r>
      <w:r w:rsidRPr="005406C8">
        <w:rPr>
          <w:b/>
          <w:iCs/>
        </w:rPr>
        <w:t xml:space="preserve"> Amenities:</w:t>
      </w:r>
      <w:r w:rsidR="005406C8">
        <w:rPr>
          <w:bCs/>
          <w:iCs/>
        </w:rPr>
        <w:t xml:space="preserve"> Seeks insight into the total cost of ownership of your proposed solution for additional amenities such as toothpaste, toothbrushes, irons, etc. </w:t>
      </w:r>
      <w:r w:rsidRPr="00AE4851">
        <w:rPr>
          <w:bCs/>
          <w:iCs/>
        </w:rPr>
        <w:t>All pricing submitted must be included in the spreadsheet; no changes to format are permitted. Failure to comply may disqualify your bid proposal.</w:t>
      </w:r>
    </w:p>
    <w:p w14:paraId="2EFE71E8" w14:textId="7EE9BE0F" w:rsidR="00F14AF1" w:rsidRPr="00F14AF1" w:rsidRDefault="005406C8" w:rsidP="00F14AF1">
      <w:pPr>
        <w:pStyle w:val="ListParagraph"/>
        <w:numPr>
          <w:ilvl w:val="1"/>
          <w:numId w:val="9"/>
        </w:numPr>
        <w:rPr>
          <w:bCs/>
          <w:iCs/>
        </w:rPr>
      </w:pPr>
      <w:r w:rsidRPr="00F14AF1">
        <w:rPr>
          <w:bCs/>
          <w:iCs/>
        </w:rPr>
        <w:t xml:space="preserve">Quantities </w:t>
      </w:r>
      <w:r w:rsidR="00F14AF1">
        <w:rPr>
          <w:bCs/>
          <w:iCs/>
        </w:rPr>
        <w:t xml:space="preserve">for items </w:t>
      </w:r>
      <w:r w:rsidRPr="00F14AF1">
        <w:rPr>
          <w:bCs/>
          <w:iCs/>
        </w:rPr>
        <w:t xml:space="preserve">listed represent SGC’s one (1) year usage dating from January 1, 2023 through December 31, 2023. </w:t>
      </w:r>
      <w:r w:rsidR="00F14AF1" w:rsidRPr="00F14AF1">
        <w:rPr>
          <w:bCs/>
          <w:iCs/>
        </w:rPr>
        <w:t xml:space="preserve">Quantities provided are for bidding purposes only and are not a commitment to future purchases. </w:t>
      </w:r>
    </w:p>
    <w:p w14:paraId="4FBF1924" w14:textId="20FE0ED4" w:rsidR="00F14AF1" w:rsidRDefault="00F14AF1" w:rsidP="005406C8">
      <w:pPr>
        <w:pStyle w:val="ListParagraph"/>
        <w:numPr>
          <w:ilvl w:val="1"/>
          <w:numId w:val="9"/>
        </w:numPr>
        <w:rPr>
          <w:bCs/>
          <w:iCs/>
        </w:rPr>
      </w:pPr>
      <w:r w:rsidRPr="00F14AF1">
        <w:rPr>
          <w:bCs/>
          <w:iCs/>
        </w:rPr>
        <w:t xml:space="preserve">The items in this list represent </w:t>
      </w:r>
      <w:r w:rsidR="00AF7A89">
        <w:rPr>
          <w:bCs/>
          <w:iCs/>
        </w:rPr>
        <w:t>80</w:t>
      </w:r>
      <w:r w:rsidRPr="00F14AF1">
        <w:rPr>
          <w:bCs/>
          <w:iCs/>
        </w:rPr>
        <w:t>% of SGC’s total 1-year spend</w:t>
      </w:r>
      <w:r>
        <w:rPr>
          <w:bCs/>
          <w:iCs/>
        </w:rPr>
        <w:t xml:space="preserve"> for the category</w:t>
      </w:r>
      <w:r w:rsidRPr="00F14AF1">
        <w:rPr>
          <w:bCs/>
          <w:iCs/>
        </w:rPr>
        <w:t>, dating from January 1, 2023 through December 31, 2023.</w:t>
      </w:r>
    </w:p>
    <w:p w14:paraId="7F33C8F8" w14:textId="1D14BE83" w:rsidR="00606B48" w:rsidRPr="00956F1B" w:rsidRDefault="00F6164C" w:rsidP="00956F1B">
      <w:pPr>
        <w:spacing w:after="0"/>
        <w:ind w:left="1440"/>
        <w:rPr>
          <w:b/>
          <w:iCs/>
        </w:rPr>
      </w:pPr>
      <w:r>
        <w:rPr>
          <w:b/>
          <w:iCs/>
        </w:rPr>
        <w:t xml:space="preserve">PROPERTY </w:t>
      </w:r>
      <w:r w:rsidR="00606B48" w:rsidRPr="00956F1B">
        <w:rPr>
          <w:b/>
          <w:iCs/>
        </w:rPr>
        <w:t>LOCATIONS</w:t>
      </w:r>
    </w:p>
    <w:p w14:paraId="0A5055F7" w14:textId="59574C32" w:rsidR="00606B48" w:rsidRDefault="00606B48" w:rsidP="00606B48">
      <w:pPr>
        <w:pStyle w:val="ListParagraph"/>
        <w:numPr>
          <w:ilvl w:val="0"/>
          <w:numId w:val="13"/>
        </w:numPr>
        <w:rPr>
          <w:bCs/>
          <w:iCs/>
        </w:rPr>
      </w:pPr>
      <w:r>
        <w:rPr>
          <w:bCs/>
          <w:iCs/>
        </w:rPr>
        <w:t>Seneca Niagara Resort &amp; Casino</w:t>
      </w:r>
    </w:p>
    <w:p w14:paraId="051312A7" w14:textId="5F44E342" w:rsidR="00606B48" w:rsidRPr="00606B48" w:rsidRDefault="00606B48" w:rsidP="00606B48">
      <w:pPr>
        <w:pStyle w:val="ListParagraph"/>
        <w:ind w:left="2160"/>
        <w:rPr>
          <w:bCs/>
          <w:iCs/>
        </w:rPr>
      </w:pPr>
      <w:r w:rsidRPr="00606B48">
        <w:rPr>
          <w:bCs/>
          <w:iCs/>
        </w:rPr>
        <w:t>310 4th St, Niagara Falls, NY 14303</w:t>
      </w:r>
    </w:p>
    <w:p w14:paraId="117F8FD0" w14:textId="0CC91340" w:rsidR="00606B48" w:rsidRDefault="00606B48" w:rsidP="00606B48">
      <w:pPr>
        <w:pStyle w:val="ListParagraph"/>
        <w:numPr>
          <w:ilvl w:val="1"/>
          <w:numId w:val="13"/>
        </w:numPr>
        <w:rPr>
          <w:bCs/>
          <w:iCs/>
        </w:rPr>
      </w:pPr>
      <w:r w:rsidRPr="00606B48">
        <w:rPr>
          <w:bCs/>
          <w:iCs/>
        </w:rPr>
        <w:t>604 rooms (118 Suites)</w:t>
      </w:r>
    </w:p>
    <w:p w14:paraId="18F43DA4" w14:textId="6CED89AD" w:rsidR="00606B48" w:rsidRDefault="00606B48" w:rsidP="00606B48">
      <w:pPr>
        <w:pStyle w:val="ListParagraph"/>
        <w:numPr>
          <w:ilvl w:val="1"/>
          <w:numId w:val="13"/>
        </w:numPr>
        <w:rPr>
          <w:bCs/>
          <w:iCs/>
        </w:rPr>
      </w:pPr>
      <w:r w:rsidRPr="00606B48">
        <w:rPr>
          <w:bCs/>
          <w:iCs/>
        </w:rPr>
        <w:t>occupancy is consistent at 95+%</w:t>
      </w:r>
    </w:p>
    <w:p w14:paraId="4681B3B0" w14:textId="02045834" w:rsidR="00606B48" w:rsidRDefault="00606B48" w:rsidP="00606B48">
      <w:pPr>
        <w:pStyle w:val="ListParagraph"/>
        <w:numPr>
          <w:ilvl w:val="0"/>
          <w:numId w:val="13"/>
        </w:numPr>
        <w:rPr>
          <w:bCs/>
          <w:iCs/>
        </w:rPr>
      </w:pPr>
      <w:r>
        <w:rPr>
          <w:bCs/>
          <w:iCs/>
        </w:rPr>
        <w:t xml:space="preserve">Seneca Allegany Resort &amp; Casino </w:t>
      </w:r>
    </w:p>
    <w:p w14:paraId="7BB8758A" w14:textId="492F8AC2" w:rsidR="00606B48" w:rsidRPr="00606B48" w:rsidRDefault="00606B48" w:rsidP="00606B48">
      <w:pPr>
        <w:pStyle w:val="ListParagraph"/>
        <w:ind w:left="2160"/>
        <w:rPr>
          <w:bCs/>
          <w:iCs/>
        </w:rPr>
      </w:pPr>
      <w:r w:rsidRPr="00606B48">
        <w:rPr>
          <w:bCs/>
          <w:iCs/>
        </w:rPr>
        <w:t>777 Seneca Allegany Blvd, Salamanca, NY 14779</w:t>
      </w:r>
    </w:p>
    <w:p w14:paraId="5ADC2558" w14:textId="6FC7AE87" w:rsidR="00606B48" w:rsidRDefault="00606B48" w:rsidP="00606B48">
      <w:pPr>
        <w:pStyle w:val="ListParagraph"/>
        <w:numPr>
          <w:ilvl w:val="1"/>
          <w:numId w:val="13"/>
        </w:numPr>
        <w:rPr>
          <w:bCs/>
          <w:iCs/>
        </w:rPr>
      </w:pPr>
      <w:r w:rsidRPr="00606B48">
        <w:rPr>
          <w:bCs/>
          <w:iCs/>
        </w:rPr>
        <w:t>413 (30 Suites)</w:t>
      </w:r>
    </w:p>
    <w:p w14:paraId="5A7F5479" w14:textId="61D8814B" w:rsidR="00606B48" w:rsidRDefault="00606B48" w:rsidP="00606B48">
      <w:pPr>
        <w:pStyle w:val="ListParagraph"/>
        <w:numPr>
          <w:ilvl w:val="1"/>
          <w:numId w:val="13"/>
        </w:numPr>
        <w:rPr>
          <w:bCs/>
          <w:iCs/>
        </w:rPr>
      </w:pPr>
      <w:r w:rsidRPr="00606B48">
        <w:rPr>
          <w:bCs/>
          <w:iCs/>
        </w:rPr>
        <w:t>occupancy is consistent at 95+%</w:t>
      </w:r>
    </w:p>
    <w:p w14:paraId="1A7ADE0A" w14:textId="49F0DDD5" w:rsidR="00521341" w:rsidRPr="00521341" w:rsidRDefault="00377F03" w:rsidP="0069138E">
      <w:pPr>
        <w:spacing w:after="0"/>
        <w:ind w:left="1440"/>
        <w:rPr>
          <w:b/>
          <w:iCs/>
        </w:rPr>
      </w:pPr>
      <w:r w:rsidRPr="00956F1B">
        <w:rPr>
          <w:b/>
          <w:iCs/>
        </w:rPr>
        <w:t>GENERAL REQUIREMENTS</w:t>
      </w:r>
    </w:p>
    <w:p w14:paraId="613486CB" w14:textId="77777777" w:rsidR="00521341" w:rsidRDefault="00521341" w:rsidP="00521341">
      <w:pPr>
        <w:pStyle w:val="ListParagraph"/>
        <w:numPr>
          <w:ilvl w:val="0"/>
          <w:numId w:val="19"/>
        </w:numPr>
        <w:spacing w:after="0"/>
        <w:rPr>
          <w:b/>
          <w:iCs/>
        </w:rPr>
      </w:pPr>
      <w:r>
        <w:rPr>
          <w:b/>
          <w:iCs/>
        </w:rPr>
        <w:t>Soaps &amp; Lotions</w:t>
      </w:r>
    </w:p>
    <w:p w14:paraId="03FD97F1" w14:textId="77777777" w:rsidR="00521341" w:rsidRDefault="00267FE1" w:rsidP="00521341">
      <w:pPr>
        <w:pStyle w:val="ListParagraph"/>
        <w:numPr>
          <w:ilvl w:val="1"/>
          <w:numId w:val="19"/>
        </w:numPr>
        <w:spacing w:after="0"/>
        <w:rPr>
          <w:b/>
          <w:iCs/>
        </w:rPr>
      </w:pPr>
      <w:r w:rsidRPr="00521341">
        <w:rPr>
          <w:bCs/>
          <w:iCs/>
        </w:rPr>
        <w:t>SGC is looking for retail grade formulation mid/high quality line (6-7 on 1-10 scale).</w:t>
      </w:r>
    </w:p>
    <w:p w14:paraId="59C4BF54" w14:textId="77777777" w:rsidR="00521341" w:rsidRPr="00521341" w:rsidRDefault="00267FE1" w:rsidP="00521341">
      <w:pPr>
        <w:pStyle w:val="ListParagraph"/>
        <w:numPr>
          <w:ilvl w:val="1"/>
          <w:numId w:val="19"/>
        </w:numPr>
        <w:spacing w:after="0"/>
        <w:rPr>
          <w:b/>
          <w:iCs/>
        </w:rPr>
      </w:pPr>
      <w:r w:rsidRPr="00521341">
        <w:rPr>
          <w:bCs/>
          <w:iCs/>
        </w:rPr>
        <w:t xml:space="preserve">SGC intends to use stock product and display the brand, rather than the SGC logo, however; SGC will consider and evaluate bidder custom </w:t>
      </w:r>
      <w:r w:rsidRPr="00521341">
        <w:rPr>
          <w:bCs/>
          <w:iCs/>
        </w:rPr>
        <w:lastRenderedPageBreak/>
        <w:t>capabilities to determine if this is included as part of the supply agreement.</w:t>
      </w:r>
    </w:p>
    <w:p w14:paraId="7699AECC" w14:textId="21C53E84" w:rsidR="00AF7A89" w:rsidRPr="00AF7A89" w:rsidRDefault="00096856" w:rsidP="00521341">
      <w:pPr>
        <w:pStyle w:val="ListParagraph"/>
        <w:numPr>
          <w:ilvl w:val="1"/>
          <w:numId w:val="19"/>
        </w:numPr>
        <w:spacing w:after="0"/>
        <w:rPr>
          <w:b/>
          <w:iCs/>
        </w:rPr>
      </w:pPr>
      <w:r w:rsidRPr="00521341">
        <w:rPr>
          <w:bCs/>
          <w:iCs/>
        </w:rPr>
        <w:t xml:space="preserve">Proposals must include </w:t>
      </w:r>
      <w:r w:rsidR="00E01374" w:rsidRPr="00521341">
        <w:rPr>
          <w:bCs/>
          <w:iCs/>
        </w:rPr>
        <w:t xml:space="preserve">bottles of </w:t>
      </w:r>
      <w:r w:rsidRPr="00521341">
        <w:rPr>
          <w:bCs/>
          <w:iCs/>
        </w:rPr>
        <w:t xml:space="preserve">dispensable </w:t>
      </w:r>
      <w:r w:rsidR="00E01374" w:rsidRPr="00521341">
        <w:rPr>
          <w:bCs/>
          <w:iCs/>
        </w:rPr>
        <w:t xml:space="preserve">hair shampoo, hair conditioner, </w:t>
      </w:r>
      <w:r w:rsidR="00AF7A89">
        <w:rPr>
          <w:bCs/>
          <w:iCs/>
        </w:rPr>
        <w:t xml:space="preserve">and </w:t>
      </w:r>
      <w:r w:rsidR="00E01374" w:rsidRPr="00521341">
        <w:rPr>
          <w:bCs/>
          <w:iCs/>
        </w:rPr>
        <w:t>bath gel</w:t>
      </w:r>
      <w:r w:rsidR="00AF7A89">
        <w:rPr>
          <w:bCs/>
          <w:iCs/>
        </w:rPr>
        <w:t xml:space="preserve">. Hand soap and body lotion are NOT required in dispensable sizes. </w:t>
      </w:r>
    </w:p>
    <w:p w14:paraId="25BF71A8" w14:textId="69B2733C" w:rsidR="00521341" w:rsidRPr="00AF7A89" w:rsidRDefault="00AF7A89" w:rsidP="00AF7A89">
      <w:pPr>
        <w:pStyle w:val="ListParagraph"/>
        <w:numPr>
          <w:ilvl w:val="1"/>
          <w:numId w:val="19"/>
        </w:numPr>
        <w:spacing w:after="0"/>
        <w:rPr>
          <w:b/>
          <w:iCs/>
        </w:rPr>
      </w:pPr>
      <w:r>
        <w:rPr>
          <w:bCs/>
          <w:iCs/>
        </w:rPr>
        <w:t xml:space="preserve">Small bottles of shampoo, conditioner, and bath gel are required for SGC Suites only. </w:t>
      </w:r>
    </w:p>
    <w:p w14:paraId="13C347C6" w14:textId="00D75AD1" w:rsidR="00521341" w:rsidRPr="00521341" w:rsidRDefault="00E01374" w:rsidP="00521341">
      <w:pPr>
        <w:pStyle w:val="ListParagraph"/>
        <w:numPr>
          <w:ilvl w:val="1"/>
          <w:numId w:val="19"/>
        </w:numPr>
        <w:spacing w:after="0"/>
        <w:rPr>
          <w:b/>
          <w:iCs/>
        </w:rPr>
      </w:pPr>
      <w:r w:rsidRPr="00521341">
        <w:rPr>
          <w:bCs/>
          <w:iCs/>
        </w:rPr>
        <w:t xml:space="preserve">Must be able to provide </w:t>
      </w:r>
      <w:r w:rsidR="00521341">
        <w:rPr>
          <w:bCs/>
          <w:iCs/>
        </w:rPr>
        <w:t xml:space="preserve">mounting </w:t>
      </w:r>
      <w:r w:rsidRPr="00521341">
        <w:rPr>
          <w:bCs/>
          <w:iCs/>
        </w:rPr>
        <w:t>brackets for dispensable shampoo, conditioner, and body wash</w:t>
      </w:r>
      <w:r w:rsidR="00521341">
        <w:rPr>
          <w:bCs/>
          <w:iCs/>
        </w:rPr>
        <w:t xml:space="preserve"> in the shower area</w:t>
      </w:r>
      <w:r w:rsidR="009E2EBC">
        <w:rPr>
          <w:bCs/>
          <w:iCs/>
        </w:rPr>
        <w:t xml:space="preserve"> and for hand soap and body lotion in the vanity area</w:t>
      </w:r>
      <w:r w:rsidRPr="00521341">
        <w:rPr>
          <w:bCs/>
          <w:iCs/>
        </w:rPr>
        <w:t xml:space="preserve">. Please include pricing for brackets with your proposal, if applicable. </w:t>
      </w:r>
    </w:p>
    <w:p w14:paraId="1ECABECA" w14:textId="607AC5EF" w:rsidR="00521341" w:rsidRPr="00521341" w:rsidRDefault="00480F1C" w:rsidP="00521341">
      <w:pPr>
        <w:pStyle w:val="ListParagraph"/>
        <w:numPr>
          <w:ilvl w:val="1"/>
          <w:numId w:val="19"/>
        </w:numPr>
        <w:spacing w:after="0"/>
        <w:rPr>
          <w:b/>
          <w:iCs/>
        </w:rPr>
      </w:pPr>
      <w:r w:rsidRPr="00521341">
        <w:rPr>
          <w:bCs/>
          <w:iCs/>
        </w:rPr>
        <w:t>P</w:t>
      </w:r>
      <w:r w:rsidR="00377F03" w:rsidRPr="00521341">
        <w:rPr>
          <w:bCs/>
          <w:iCs/>
        </w:rPr>
        <w:t xml:space="preserve">roducts </w:t>
      </w:r>
      <w:r w:rsidR="00521341">
        <w:rPr>
          <w:bCs/>
          <w:iCs/>
        </w:rPr>
        <w:t>cannot be made</w:t>
      </w:r>
      <w:r w:rsidR="00377F03" w:rsidRPr="00521341">
        <w:rPr>
          <w:bCs/>
          <w:iCs/>
        </w:rPr>
        <w:t xml:space="preserve"> from peanut or tree nut oil base that cause allergic reactions to patrons and staff. </w:t>
      </w:r>
    </w:p>
    <w:p w14:paraId="01736588" w14:textId="77777777" w:rsidR="00521341" w:rsidRPr="00521341" w:rsidRDefault="00521341" w:rsidP="00521341">
      <w:pPr>
        <w:pStyle w:val="ListParagraph"/>
        <w:numPr>
          <w:ilvl w:val="1"/>
          <w:numId w:val="19"/>
        </w:numPr>
        <w:spacing w:after="0"/>
        <w:rPr>
          <w:b/>
          <w:iCs/>
        </w:rPr>
      </w:pPr>
      <w:r w:rsidRPr="00521341">
        <w:rPr>
          <w:bCs/>
          <w:iCs/>
        </w:rPr>
        <w:t xml:space="preserve">SGC is </w:t>
      </w:r>
      <w:r w:rsidR="00377F03" w:rsidRPr="00521341">
        <w:rPr>
          <w:bCs/>
          <w:iCs/>
        </w:rPr>
        <w:t xml:space="preserve">very interested in any product line </w:t>
      </w:r>
      <w:r w:rsidRPr="00521341">
        <w:rPr>
          <w:bCs/>
          <w:iCs/>
        </w:rPr>
        <w:t>that</w:t>
      </w:r>
      <w:r w:rsidR="00377F03" w:rsidRPr="00521341">
        <w:rPr>
          <w:bCs/>
          <w:iCs/>
        </w:rPr>
        <w:t xml:space="preserve"> offer</w:t>
      </w:r>
      <w:r w:rsidRPr="00521341">
        <w:rPr>
          <w:bCs/>
          <w:iCs/>
        </w:rPr>
        <w:t>s</w:t>
      </w:r>
      <w:r w:rsidR="00377F03" w:rsidRPr="00521341">
        <w:rPr>
          <w:bCs/>
          <w:iCs/>
        </w:rPr>
        <w:t xml:space="preserve"> standard color coding, identifier</w:t>
      </w:r>
      <w:r w:rsidRPr="00521341">
        <w:rPr>
          <w:bCs/>
          <w:iCs/>
        </w:rPr>
        <w:t>s</w:t>
      </w:r>
      <w:r w:rsidR="00377F03" w:rsidRPr="00521341">
        <w:rPr>
          <w:bCs/>
          <w:iCs/>
        </w:rPr>
        <w:t xml:space="preserve"> or markings built into standard packaging</w:t>
      </w:r>
      <w:r w:rsidRPr="00521341">
        <w:rPr>
          <w:bCs/>
          <w:iCs/>
        </w:rPr>
        <w:t xml:space="preserve">, which helps </w:t>
      </w:r>
      <w:r w:rsidR="00377F03" w:rsidRPr="00521341">
        <w:rPr>
          <w:bCs/>
          <w:iCs/>
        </w:rPr>
        <w:t xml:space="preserve">differentiate </w:t>
      </w:r>
      <w:r w:rsidRPr="00521341">
        <w:rPr>
          <w:bCs/>
          <w:iCs/>
        </w:rPr>
        <w:t xml:space="preserve">the </w:t>
      </w:r>
      <w:r w:rsidR="00377F03" w:rsidRPr="00521341">
        <w:rPr>
          <w:bCs/>
          <w:iCs/>
        </w:rPr>
        <w:t>shampoo</w:t>
      </w:r>
      <w:r w:rsidRPr="00521341">
        <w:rPr>
          <w:bCs/>
          <w:iCs/>
        </w:rPr>
        <w:t xml:space="preserve">, </w:t>
      </w:r>
      <w:r w:rsidR="00377F03" w:rsidRPr="00521341">
        <w:rPr>
          <w:bCs/>
          <w:iCs/>
        </w:rPr>
        <w:t>hair conditioner</w:t>
      </w:r>
      <w:r w:rsidRPr="00521341">
        <w:rPr>
          <w:bCs/>
          <w:iCs/>
        </w:rPr>
        <w:t xml:space="preserve">, </w:t>
      </w:r>
      <w:r w:rsidR="00377F03" w:rsidRPr="00521341">
        <w:rPr>
          <w:bCs/>
          <w:iCs/>
        </w:rPr>
        <w:t>body gel</w:t>
      </w:r>
      <w:r w:rsidRPr="00521341">
        <w:rPr>
          <w:bCs/>
          <w:iCs/>
        </w:rPr>
        <w:t xml:space="preserve">, </w:t>
      </w:r>
      <w:r w:rsidR="00377F03" w:rsidRPr="00521341">
        <w:rPr>
          <w:bCs/>
          <w:iCs/>
        </w:rPr>
        <w:t xml:space="preserve">body crème, </w:t>
      </w:r>
      <w:r w:rsidR="00606B48" w:rsidRPr="00521341">
        <w:rPr>
          <w:bCs/>
          <w:iCs/>
        </w:rPr>
        <w:t>etc.</w:t>
      </w:r>
      <w:r w:rsidRPr="00521341">
        <w:rPr>
          <w:bCs/>
          <w:iCs/>
        </w:rPr>
        <w:t xml:space="preserve"> from each other and allows </w:t>
      </w:r>
      <w:r w:rsidR="00377F03" w:rsidRPr="00521341">
        <w:rPr>
          <w:bCs/>
          <w:iCs/>
        </w:rPr>
        <w:t xml:space="preserve">hotel maids </w:t>
      </w:r>
      <w:r w:rsidRPr="00521341">
        <w:rPr>
          <w:bCs/>
          <w:iCs/>
        </w:rPr>
        <w:t xml:space="preserve">to quickly and </w:t>
      </w:r>
      <w:r w:rsidR="00377F03" w:rsidRPr="00521341">
        <w:rPr>
          <w:bCs/>
          <w:iCs/>
        </w:rPr>
        <w:t xml:space="preserve">easily identify product on their work carts. </w:t>
      </w:r>
    </w:p>
    <w:p w14:paraId="240FA396" w14:textId="77777777" w:rsidR="00521341" w:rsidRPr="00521341" w:rsidRDefault="00521341" w:rsidP="00521341">
      <w:pPr>
        <w:pStyle w:val="ListParagraph"/>
        <w:numPr>
          <w:ilvl w:val="1"/>
          <w:numId w:val="19"/>
        </w:numPr>
        <w:spacing w:after="0"/>
        <w:rPr>
          <w:b/>
          <w:iCs/>
        </w:rPr>
      </w:pPr>
      <w:r w:rsidRPr="00521341">
        <w:rPr>
          <w:bCs/>
          <w:iCs/>
        </w:rPr>
        <w:t>Product and packaging should be environmentally friendly.</w:t>
      </w:r>
    </w:p>
    <w:p w14:paraId="516168A5" w14:textId="07DF7EC9" w:rsidR="00521341" w:rsidRPr="00521341" w:rsidRDefault="00521341" w:rsidP="00521341">
      <w:pPr>
        <w:pStyle w:val="ListParagraph"/>
        <w:numPr>
          <w:ilvl w:val="1"/>
          <w:numId w:val="19"/>
        </w:numPr>
        <w:spacing w:after="0"/>
        <w:rPr>
          <w:b/>
          <w:iCs/>
        </w:rPr>
      </w:pPr>
      <w:r w:rsidRPr="00521341">
        <w:rPr>
          <w:bCs/>
          <w:iCs/>
        </w:rPr>
        <w:t>Product needs to support SGC’s four-star rating by AAA.</w:t>
      </w:r>
    </w:p>
    <w:p w14:paraId="337C1EE9" w14:textId="77777777" w:rsidR="0069138E" w:rsidRPr="0069138E" w:rsidRDefault="00956F1B" w:rsidP="0069138E">
      <w:pPr>
        <w:pStyle w:val="ListParagraph"/>
        <w:numPr>
          <w:ilvl w:val="1"/>
          <w:numId w:val="19"/>
        </w:numPr>
        <w:spacing w:after="0"/>
        <w:rPr>
          <w:b/>
          <w:iCs/>
        </w:rPr>
      </w:pPr>
      <w:r w:rsidRPr="00521341">
        <w:rPr>
          <w:bCs/>
          <w:iCs/>
        </w:rPr>
        <w:t>If available, advise of any retail product options (size, container, etc.)</w:t>
      </w:r>
    </w:p>
    <w:p w14:paraId="40062D71" w14:textId="77777777" w:rsidR="0069138E" w:rsidRPr="0069138E" w:rsidRDefault="00956F1B" w:rsidP="0069138E">
      <w:pPr>
        <w:pStyle w:val="ListParagraph"/>
        <w:numPr>
          <w:ilvl w:val="1"/>
          <w:numId w:val="19"/>
        </w:numPr>
        <w:spacing w:after="0"/>
        <w:rPr>
          <w:b/>
          <w:iCs/>
        </w:rPr>
      </w:pPr>
      <w:r w:rsidRPr="0069138E">
        <w:rPr>
          <w:bCs/>
          <w:iCs/>
        </w:rPr>
        <w:t>Vendor will be required to:</w:t>
      </w:r>
    </w:p>
    <w:p w14:paraId="309BB892" w14:textId="77777777" w:rsidR="0069138E" w:rsidRPr="0069138E" w:rsidRDefault="00956F1B" w:rsidP="0069138E">
      <w:pPr>
        <w:pStyle w:val="ListParagraph"/>
        <w:numPr>
          <w:ilvl w:val="2"/>
          <w:numId w:val="19"/>
        </w:numPr>
        <w:spacing w:after="0"/>
        <w:rPr>
          <w:b/>
          <w:iCs/>
        </w:rPr>
      </w:pPr>
      <w:r w:rsidRPr="0069138E">
        <w:rPr>
          <w:bCs/>
          <w:iCs/>
        </w:rPr>
        <w:t>Provide Chemical Analysis of proposed products.</w:t>
      </w:r>
    </w:p>
    <w:p w14:paraId="6D80C218" w14:textId="77777777" w:rsidR="0069138E" w:rsidRPr="0069138E" w:rsidRDefault="00956F1B" w:rsidP="0069138E">
      <w:pPr>
        <w:pStyle w:val="ListParagraph"/>
        <w:numPr>
          <w:ilvl w:val="2"/>
          <w:numId w:val="19"/>
        </w:numPr>
        <w:spacing w:after="0"/>
        <w:rPr>
          <w:b/>
          <w:iCs/>
        </w:rPr>
      </w:pPr>
      <w:r w:rsidRPr="0069138E">
        <w:rPr>
          <w:bCs/>
          <w:iCs/>
        </w:rPr>
        <w:t>Submit Material Data Safety Sheets</w:t>
      </w:r>
    </w:p>
    <w:p w14:paraId="034C2775" w14:textId="7FA30BE0" w:rsidR="00956F1B" w:rsidRPr="0069138E" w:rsidRDefault="00956F1B" w:rsidP="0069138E">
      <w:pPr>
        <w:pStyle w:val="ListParagraph"/>
        <w:numPr>
          <w:ilvl w:val="2"/>
          <w:numId w:val="19"/>
        </w:numPr>
        <w:spacing w:after="0"/>
        <w:rPr>
          <w:b/>
          <w:iCs/>
        </w:rPr>
      </w:pPr>
      <w:r w:rsidRPr="0069138E">
        <w:rPr>
          <w:bCs/>
          <w:iCs/>
        </w:rPr>
        <w:t>Provide a Quality Batch Control Report.</w:t>
      </w:r>
    </w:p>
    <w:p w14:paraId="2D0B85A4" w14:textId="6686216D" w:rsidR="0069138E" w:rsidRDefault="00F6164C" w:rsidP="0069138E">
      <w:pPr>
        <w:pStyle w:val="ListParagraph"/>
        <w:numPr>
          <w:ilvl w:val="0"/>
          <w:numId w:val="19"/>
        </w:numPr>
        <w:spacing w:after="0"/>
        <w:rPr>
          <w:b/>
          <w:iCs/>
        </w:rPr>
      </w:pPr>
      <w:r>
        <w:rPr>
          <w:b/>
          <w:iCs/>
        </w:rPr>
        <w:t>Other</w:t>
      </w:r>
      <w:r w:rsidR="0069138E" w:rsidRPr="0069138E">
        <w:rPr>
          <w:b/>
          <w:iCs/>
        </w:rPr>
        <w:t xml:space="preserve"> Amenities</w:t>
      </w:r>
    </w:p>
    <w:p w14:paraId="4C20B843" w14:textId="0C26B82E" w:rsidR="000A5C40" w:rsidRPr="00F14AF1" w:rsidRDefault="0069138E" w:rsidP="009261CD">
      <w:pPr>
        <w:pStyle w:val="ListParagraph"/>
        <w:numPr>
          <w:ilvl w:val="1"/>
          <w:numId w:val="19"/>
        </w:numPr>
        <w:spacing w:after="0"/>
        <w:rPr>
          <w:b/>
          <w:iCs/>
        </w:rPr>
      </w:pPr>
      <w:r w:rsidRPr="00F14AF1">
        <w:rPr>
          <w:bCs/>
          <w:iCs/>
        </w:rPr>
        <w:t xml:space="preserve">SGC is seeking bids for additional guest room amenities such as toothpaste, tooth brushes, mouthwash, irons, ironing boards, hair dryers, etc. </w:t>
      </w:r>
      <w:r w:rsidR="00D06362" w:rsidRPr="00F14AF1">
        <w:rPr>
          <w:bCs/>
          <w:iCs/>
        </w:rPr>
        <w:t xml:space="preserve">Please provide an attachment(s) of any standard various products </w:t>
      </w:r>
      <w:r w:rsidR="00193921" w:rsidRPr="00F14AF1">
        <w:rPr>
          <w:bCs/>
          <w:iCs/>
        </w:rPr>
        <w:t xml:space="preserve">not included in tab 6 ‘Additional Amenities’. Items should be relevant to </w:t>
      </w:r>
      <w:r w:rsidR="00D06362" w:rsidRPr="00F14AF1">
        <w:rPr>
          <w:bCs/>
          <w:iCs/>
        </w:rPr>
        <w:t>h</w:t>
      </w:r>
      <w:r w:rsidR="00193921" w:rsidRPr="00F14AF1">
        <w:rPr>
          <w:bCs/>
          <w:iCs/>
        </w:rPr>
        <w:t xml:space="preserve">otel </w:t>
      </w:r>
      <w:r w:rsidR="00D06362" w:rsidRPr="00F14AF1">
        <w:rPr>
          <w:bCs/>
          <w:iCs/>
        </w:rPr>
        <w:t>g</w:t>
      </w:r>
      <w:r w:rsidR="00193921" w:rsidRPr="00F14AF1">
        <w:rPr>
          <w:bCs/>
          <w:iCs/>
        </w:rPr>
        <w:t xml:space="preserve">uest </w:t>
      </w:r>
      <w:r w:rsidR="00D06362" w:rsidRPr="00F14AF1">
        <w:rPr>
          <w:bCs/>
          <w:iCs/>
        </w:rPr>
        <w:t>r</w:t>
      </w:r>
      <w:r w:rsidR="00193921" w:rsidRPr="00F14AF1">
        <w:rPr>
          <w:bCs/>
          <w:iCs/>
        </w:rPr>
        <w:t xml:space="preserve">ooms. </w:t>
      </w:r>
    </w:p>
    <w:p w14:paraId="3DD8FC0B" w14:textId="1C86AF69" w:rsidR="000A5C40" w:rsidRPr="000A5C40" w:rsidRDefault="000A5C40" w:rsidP="000A5C40">
      <w:pPr>
        <w:pStyle w:val="ListParagraph"/>
        <w:numPr>
          <w:ilvl w:val="1"/>
          <w:numId w:val="19"/>
        </w:numPr>
        <w:spacing w:after="0"/>
        <w:rPr>
          <w:b/>
          <w:iCs/>
        </w:rPr>
      </w:pPr>
      <w:r w:rsidRPr="000A5C40">
        <w:rPr>
          <w:bCs/>
          <w:iCs/>
        </w:rPr>
        <w:t xml:space="preserve">Must be able to accommodate multiple delivery days per week per property. </w:t>
      </w:r>
    </w:p>
    <w:p w14:paraId="13ABB683" w14:textId="77777777" w:rsidR="000A5C40" w:rsidRDefault="000A5C40" w:rsidP="000A5C40">
      <w:pPr>
        <w:pStyle w:val="ListParagraph"/>
        <w:numPr>
          <w:ilvl w:val="1"/>
          <w:numId w:val="19"/>
        </w:numPr>
        <w:jc w:val="both"/>
        <w:rPr>
          <w:bCs/>
          <w:iCs/>
        </w:rPr>
      </w:pPr>
      <w:r w:rsidRPr="00D537C3">
        <w:rPr>
          <w:bCs/>
          <w:iCs/>
        </w:rPr>
        <w:t>SGC will not accept minimum delivery amounts or quantities.</w:t>
      </w:r>
    </w:p>
    <w:p w14:paraId="760407CA" w14:textId="4F2603B3" w:rsidR="000A5C40" w:rsidRPr="000A5C40" w:rsidRDefault="000A5C40" w:rsidP="000A5C40">
      <w:pPr>
        <w:pStyle w:val="ListParagraph"/>
        <w:numPr>
          <w:ilvl w:val="1"/>
          <w:numId w:val="19"/>
        </w:numPr>
        <w:rPr>
          <w:bCs/>
          <w:iCs/>
        </w:rPr>
      </w:pPr>
      <w:r w:rsidRPr="000A5C40">
        <w:rPr>
          <w:bCs/>
          <w:iCs/>
        </w:rPr>
        <w:t>SGC expects outages to be kept to a minimum; within 2%.  Contracted supplier is expected to maintain a 98% order fill rate (excluding substitutions) throughout the duration of the contract.</w:t>
      </w:r>
    </w:p>
    <w:p w14:paraId="610C5566" w14:textId="4D4E8550" w:rsidR="00377F03" w:rsidRPr="00FD3733" w:rsidRDefault="00377F03" w:rsidP="000A5C40">
      <w:pPr>
        <w:spacing w:after="0"/>
        <w:ind w:left="720" w:firstLine="720"/>
        <w:rPr>
          <w:b/>
          <w:iCs/>
        </w:rPr>
      </w:pPr>
      <w:r w:rsidRPr="00FD3733">
        <w:rPr>
          <w:b/>
          <w:iCs/>
        </w:rPr>
        <w:t>PRICING</w:t>
      </w:r>
      <w:r w:rsidR="00FD3733">
        <w:rPr>
          <w:b/>
          <w:iCs/>
        </w:rPr>
        <w:t xml:space="preserve"> REQUIREMENTS</w:t>
      </w:r>
    </w:p>
    <w:p w14:paraId="207C4EDF" w14:textId="2CF31703" w:rsidR="003E0A7E" w:rsidRDefault="003E0A7E" w:rsidP="00377F03">
      <w:pPr>
        <w:pStyle w:val="ListParagraph"/>
        <w:numPr>
          <w:ilvl w:val="0"/>
          <w:numId w:val="11"/>
        </w:numPr>
        <w:rPr>
          <w:bCs/>
          <w:iCs/>
        </w:rPr>
      </w:pPr>
      <w:r>
        <w:rPr>
          <w:bCs/>
          <w:iCs/>
        </w:rPr>
        <w:t>SGC’s preference is that p</w:t>
      </w:r>
      <w:r w:rsidRPr="003E0A7E">
        <w:rPr>
          <w:bCs/>
          <w:iCs/>
        </w:rPr>
        <w:t>rices are fixed during the term of the contract, including any renewal term.</w:t>
      </w:r>
      <w:r>
        <w:rPr>
          <w:bCs/>
          <w:iCs/>
        </w:rPr>
        <w:t xml:space="preserve"> If you are unable to provide fixed pricing, please outline your pricing terms in </w:t>
      </w:r>
      <w:r w:rsidR="00E64B62">
        <w:rPr>
          <w:bCs/>
          <w:iCs/>
        </w:rPr>
        <w:t>the bidder questionnaire (</w:t>
      </w:r>
      <w:r w:rsidR="00604994">
        <w:rPr>
          <w:bCs/>
          <w:iCs/>
        </w:rPr>
        <w:t xml:space="preserve">tab 4; </w:t>
      </w:r>
      <w:r>
        <w:rPr>
          <w:bCs/>
          <w:iCs/>
        </w:rPr>
        <w:t>question 12</w:t>
      </w:r>
      <w:r w:rsidR="00E64B62">
        <w:rPr>
          <w:bCs/>
          <w:iCs/>
        </w:rPr>
        <w:t>)</w:t>
      </w:r>
      <w:r>
        <w:rPr>
          <w:bCs/>
          <w:iCs/>
        </w:rPr>
        <w:t xml:space="preserve"> of </w:t>
      </w:r>
      <w:r w:rsidR="00E64B62">
        <w:rPr>
          <w:bCs/>
          <w:iCs/>
        </w:rPr>
        <w:t>Exhibit A</w:t>
      </w:r>
      <w:r>
        <w:rPr>
          <w:bCs/>
          <w:iCs/>
        </w:rPr>
        <w:t xml:space="preserve">. </w:t>
      </w:r>
    </w:p>
    <w:p w14:paraId="23A75C95" w14:textId="7A7CCAC8" w:rsidR="00377F03" w:rsidRDefault="00FD3733" w:rsidP="00377F03">
      <w:pPr>
        <w:pStyle w:val="ListParagraph"/>
        <w:numPr>
          <w:ilvl w:val="0"/>
          <w:numId w:val="11"/>
        </w:numPr>
        <w:rPr>
          <w:bCs/>
          <w:iCs/>
        </w:rPr>
      </w:pPr>
      <w:r>
        <w:rPr>
          <w:bCs/>
          <w:iCs/>
        </w:rPr>
        <w:t>P</w:t>
      </w:r>
      <w:r w:rsidR="00377F03" w:rsidRPr="00377F03">
        <w:rPr>
          <w:bCs/>
          <w:iCs/>
        </w:rPr>
        <w:t>ricing</w:t>
      </w:r>
      <w:r>
        <w:rPr>
          <w:bCs/>
          <w:iCs/>
        </w:rPr>
        <w:t xml:space="preserve"> is</w:t>
      </w:r>
      <w:r w:rsidR="00377F03" w:rsidRPr="00377F03">
        <w:rPr>
          <w:bCs/>
          <w:iCs/>
        </w:rPr>
        <w:t xml:space="preserve"> to include product cost and shipping cost to either zip 14304 or 14779 and must be firm for the contract term. </w:t>
      </w:r>
    </w:p>
    <w:p w14:paraId="31B9EC71" w14:textId="77777777" w:rsidR="00377F03" w:rsidRDefault="00377F03" w:rsidP="00377F03">
      <w:pPr>
        <w:pStyle w:val="ListParagraph"/>
        <w:numPr>
          <w:ilvl w:val="0"/>
          <w:numId w:val="11"/>
        </w:numPr>
        <w:rPr>
          <w:bCs/>
          <w:iCs/>
        </w:rPr>
      </w:pPr>
      <w:r w:rsidRPr="00377F03">
        <w:rPr>
          <w:bCs/>
          <w:iCs/>
        </w:rPr>
        <w:lastRenderedPageBreak/>
        <w:t xml:space="preserve">Quantity per case to be shown with the case pricing. </w:t>
      </w:r>
    </w:p>
    <w:p w14:paraId="542716E5" w14:textId="55CC6A6D" w:rsidR="00377F03" w:rsidRDefault="00377F03" w:rsidP="00377F03">
      <w:pPr>
        <w:pStyle w:val="ListParagraph"/>
        <w:numPr>
          <w:ilvl w:val="0"/>
          <w:numId w:val="11"/>
        </w:numPr>
        <w:rPr>
          <w:bCs/>
          <w:iCs/>
        </w:rPr>
      </w:pPr>
      <w:r w:rsidRPr="00377F03">
        <w:rPr>
          <w:bCs/>
          <w:iCs/>
        </w:rPr>
        <w:t>Please refer to the attached spreadsheet for approximate 20</w:t>
      </w:r>
      <w:r w:rsidR="005406C8">
        <w:rPr>
          <w:bCs/>
          <w:iCs/>
        </w:rPr>
        <w:t>23</w:t>
      </w:r>
      <w:r w:rsidRPr="00377F03">
        <w:rPr>
          <w:bCs/>
          <w:iCs/>
        </w:rPr>
        <w:t xml:space="preserve"> </w:t>
      </w:r>
      <w:r w:rsidR="005406C8">
        <w:rPr>
          <w:bCs/>
          <w:iCs/>
        </w:rPr>
        <w:t>order volumes.</w:t>
      </w:r>
    </w:p>
    <w:p w14:paraId="36B0B688" w14:textId="738D6DFD" w:rsidR="00377F03" w:rsidRDefault="00377F03" w:rsidP="00377F03">
      <w:pPr>
        <w:pStyle w:val="ListParagraph"/>
        <w:numPr>
          <w:ilvl w:val="0"/>
          <w:numId w:val="11"/>
        </w:numPr>
        <w:rPr>
          <w:bCs/>
          <w:iCs/>
        </w:rPr>
      </w:pPr>
      <w:r w:rsidRPr="00377F03">
        <w:rPr>
          <w:bCs/>
          <w:iCs/>
        </w:rPr>
        <w:t xml:space="preserve">Please use the attached spreadsheet for submitting your pricing. </w:t>
      </w:r>
      <w:r w:rsidR="003E0A7E">
        <w:rPr>
          <w:bCs/>
          <w:iCs/>
        </w:rPr>
        <w:t xml:space="preserve">If you have more than one product line that you would like to propose, a spreadsheet will need to be submitted for each product line. </w:t>
      </w:r>
    </w:p>
    <w:p w14:paraId="15051F5B" w14:textId="0631D069" w:rsidR="00FD3733" w:rsidRPr="00FD3733" w:rsidRDefault="00FD3733" w:rsidP="00FD3733">
      <w:pPr>
        <w:pStyle w:val="ListParagraph"/>
        <w:numPr>
          <w:ilvl w:val="0"/>
          <w:numId w:val="11"/>
        </w:numPr>
        <w:rPr>
          <w:bCs/>
          <w:iCs/>
        </w:rPr>
      </w:pPr>
      <w:r w:rsidRPr="00956F1B">
        <w:rPr>
          <w:bCs/>
          <w:iCs/>
        </w:rPr>
        <w:t>Any incentives, such as rebates, promotions, etc. are to be applied to item cost up front. Incentives will not be applied at time of invoice or later as a separate transaction.</w:t>
      </w:r>
    </w:p>
    <w:p w14:paraId="00909172" w14:textId="77777777" w:rsidR="00FD3733" w:rsidRPr="00480F1C" w:rsidRDefault="00FD3733" w:rsidP="00FD3733">
      <w:pPr>
        <w:spacing w:after="0"/>
        <w:ind w:left="1440"/>
        <w:rPr>
          <w:b/>
          <w:iCs/>
        </w:rPr>
      </w:pPr>
      <w:r w:rsidRPr="00480F1C">
        <w:rPr>
          <w:b/>
          <w:iCs/>
        </w:rPr>
        <w:t>PRODUCT REQUESTS / SAMPLES</w:t>
      </w:r>
    </w:p>
    <w:p w14:paraId="45287C69" w14:textId="77777777" w:rsidR="00FD3733" w:rsidRPr="00480F1C" w:rsidRDefault="00FD3733" w:rsidP="00FD3733">
      <w:pPr>
        <w:ind w:left="1440"/>
        <w:rPr>
          <w:bCs/>
          <w:iCs/>
        </w:rPr>
      </w:pPr>
      <w:r w:rsidRPr="00480F1C">
        <w:rPr>
          <w:bCs/>
          <w:iCs/>
        </w:rPr>
        <w:t xml:space="preserve">SGC may request product samples to determine quality and acceptability. Do not send samples with your bid. SGC will require samples only if your product line(s) are chosen. Product samples </w:t>
      </w:r>
      <w:r>
        <w:rPr>
          <w:bCs/>
          <w:iCs/>
        </w:rPr>
        <w:t>are to</w:t>
      </w:r>
      <w:r w:rsidRPr="00480F1C">
        <w:rPr>
          <w:bCs/>
          <w:iCs/>
        </w:rPr>
        <w:t xml:space="preserve"> be provided at no cost</w:t>
      </w:r>
      <w:r>
        <w:rPr>
          <w:bCs/>
          <w:iCs/>
        </w:rPr>
        <w:t xml:space="preserve"> to SGC</w:t>
      </w:r>
      <w:r w:rsidRPr="00480F1C">
        <w:rPr>
          <w:bCs/>
          <w:iCs/>
        </w:rPr>
        <w:t>, within reason.</w:t>
      </w:r>
    </w:p>
    <w:p w14:paraId="44BC1B99" w14:textId="13730FEA" w:rsidR="00FD3733" w:rsidRPr="00956F1B" w:rsidRDefault="00FD3733" w:rsidP="00FD3733">
      <w:pPr>
        <w:spacing w:after="0"/>
        <w:ind w:left="1440"/>
        <w:rPr>
          <w:b/>
          <w:iCs/>
        </w:rPr>
      </w:pPr>
      <w:r w:rsidRPr="00956F1B">
        <w:rPr>
          <w:b/>
          <w:iCs/>
        </w:rPr>
        <w:t>IMPLEMENTATION</w:t>
      </w:r>
    </w:p>
    <w:p w14:paraId="02C7749A" w14:textId="5313ABDE" w:rsidR="0069138E" w:rsidRDefault="0069138E" w:rsidP="0069138E">
      <w:pPr>
        <w:pStyle w:val="ListParagraph"/>
        <w:numPr>
          <w:ilvl w:val="0"/>
          <w:numId w:val="20"/>
        </w:numPr>
        <w:rPr>
          <w:bCs/>
          <w:iCs/>
        </w:rPr>
      </w:pPr>
      <w:r>
        <w:rPr>
          <w:bCs/>
          <w:iCs/>
        </w:rPr>
        <w:t xml:space="preserve">If the contract is awarded to a new supplier, </w:t>
      </w:r>
      <w:r w:rsidRPr="00377F03">
        <w:rPr>
          <w:bCs/>
          <w:iCs/>
        </w:rPr>
        <w:t xml:space="preserve">there may be a slight start up delay until </w:t>
      </w:r>
      <w:r>
        <w:rPr>
          <w:bCs/>
          <w:iCs/>
        </w:rPr>
        <w:t>SGC is able to</w:t>
      </w:r>
      <w:r w:rsidRPr="00377F03">
        <w:rPr>
          <w:bCs/>
          <w:iCs/>
        </w:rPr>
        <w:t xml:space="preserve"> </w:t>
      </w:r>
      <w:r>
        <w:rPr>
          <w:bCs/>
          <w:iCs/>
        </w:rPr>
        <w:t xml:space="preserve">deplete </w:t>
      </w:r>
      <w:r w:rsidRPr="00377F03">
        <w:rPr>
          <w:bCs/>
          <w:iCs/>
        </w:rPr>
        <w:t>inventory fro</w:t>
      </w:r>
      <w:r>
        <w:rPr>
          <w:bCs/>
          <w:iCs/>
        </w:rPr>
        <w:t>m the</w:t>
      </w:r>
      <w:r w:rsidRPr="00377F03">
        <w:rPr>
          <w:bCs/>
          <w:iCs/>
        </w:rPr>
        <w:t xml:space="preserve"> current supplier.   </w:t>
      </w:r>
    </w:p>
    <w:p w14:paraId="5DF657B4" w14:textId="2B4EA2C7" w:rsidR="002F7264" w:rsidRPr="0069138E" w:rsidRDefault="00FD3733" w:rsidP="0069138E">
      <w:pPr>
        <w:pStyle w:val="ListParagraph"/>
        <w:numPr>
          <w:ilvl w:val="0"/>
          <w:numId w:val="20"/>
        </w:numPr>
        <w:rPr>
          <w:bCs/>
          <w:iCs/>
        </w:rPr>
      </w:pPr>
      <w:r w:rsidRPr="0069138E">
        <w:rPr>
          <w:bCs/>
          <w:iCs/>
        </w:rPr>
        <w:t>Upon commencement of the contract, the chosen vendor w</w:t>
      </w:r>
      <w:r w:rsidR="00780230" w:rsidRPr="0069138E">
        <w:rPr>
          <w:bCs/>
          <w:iCs/>
        </w:rPr>
        <w:t>ill</w:t>
      </w:r>
      <w:r w:rsidRPr="0069138E">
        <w:rPr>
          <w:bCs/>
          <w:iCs/>
        </w:rPr>
        <w:t xml:space="preserve"> be expected to assist </w:t>
      </w:r>
      <w:r w:rsidR="00E21047" w:rsidRPr="0069138E">
        <w:rPr>
          <w:bCs/>
          <w:iCs/>
        </w:rPr>
        <w:t>SGC in establishing a new product transition plan</w:t>
      </w:r>
      <w:r w:rsidR="00780230" w:rsidRPr="0069138E">
        <w:rPr>
          <w:bCs/>
          <w:iCs/>
        </w:rPr>
        <w:t xml:space="preserve"> </w:t>
      </w:r>
      <w:r w:rsidRPr="0069138E">
        <w:rPr>
          <w:bCs/>
          <w:iCs/>
        </w:rPr>
        <w:t>to ensure a smooth and efficient transition.</w:t>
      </w:r>
    </w:p>
    <w:p w14:paraId="752E9B67" w14:textId="3930CB95" w:rsidR="00A44F14" w:rsidRPr="00956F1B" w:rsidRDefault="00A44F14" w:rsidP="00956F1B">
      <w:pPr>
        <w:spacing w:after="0"/>
        <w:ind w:left="1440"/>
        <w:rPr>
          <w:b/>
          <w:iCs/>
        </w:rPr>
      </w:pPr>
      <w:r w:rsidRPr="00956F1B">
        <w:rPr>
          <w:b/>
          <w:iCs/>
        </w:rPr>
        <w:t>PRODUCT MANAGEMENT</w:t>
      </w:r>
    </w:p>
    <w:p w14:paraId="72A09631" w14:textId="46872706" w:rsidR="0069138E" w:rsidRPr="00956F1B" w:rsidRDefault="0069138E" w:rsidP="0069138E">
      <w:pPr>
        <w:pStyle w:val="ListParagraph"/>
        <w:numPr>
          <w:ilvl w:val="0"/>
          <w:numId w:val="15"/>
        </w:numPr>
        <w:rPr>
          <w:bCs/>
          <w:iCs/>
        </w:rPr>
      </w:pPr>
      <w:r w:rsidRPr="00956F1B">
        <w:rPr>
          <w:bCs/>
          <w:iCs/>
        </w:rPr>
        <w:t xml:space="preserve">Awarded vendor is expected to carry a minimum of 4-months’ worth of inventory domestically </w:t>
      </w:r>
      <w:r>
        <w:rPr>
          <w:bCs/>
          <w:iCs/>
        </w:rPr>
        <w:t xml:space="preserve">for SGC </w:t>
      </w:r>
      <w:r w:rsidRPr="00956F1B">
        <w:rPr>
          <w:bCs/>
          <w:iCs/>
        </w:rPr>
        <w:t>at all times.</w:t>
      </w:r>
    </w:p>
    <w:p w14:paraId="7B6DFF79" w14:textId="690BF01F" w:rsidR="00A44F14" w:rsidRPr="00956F1B" w:rsidRDefault="00A44F14" w:rsidP="00956F1B">
      <w:pPr>
        <w:pStyle w:val="ListParagraph"/>
        <w:numPr>
          <w:ilvl w:val="0"/>
          <w:numId w:val="15"/>
        </w:numPr>
        <w:rPr>
          <w:bCs/>
          <w:iCs/>
        </w:rPr>
      </w:pPr>
      <w:r w:rsidRPr="00956F1B">
        <w:rPr>
          <w:bCs/>
          <w:iCs/>
        </w:rPr>
        <w:t>It is the responsibility of the awarded vendor to keep ample inventory on their shelves so SGC never runs out of product when orders are placed.</w:t>
      </w:r>
    </w:p>
    <w:p w14:paraId="73FB8E31" w14:textId="35A12BB2" w:rsidR="00956F1B" w:rsidRPr="00956F1B" w:rsidRDefault="00956F1B" w:rsidP="00956F1B">
      <w:pPr>
        <w:spacing w:after="0"/>
        <w:ind w:left="1440"/>
        <w:rPr>
          <w:b/>
          <w:iCs/>
        </w:rPr>
      </w:pPr>
      <w:r w:rsidRPr="00956F1B">
        <w:rPr>
          <w:b/>
          <w:iCs/>
        </w:rPr>
        <w:t>PRODUCT CHANGES</w:t>
      </w:r>
    </w:p>
    <w:p w14:paraId="4AB6880F" w14:textId="77777777" w:rsidR="00956F1B" w:rsidRDefault="00956F1B" w:rsidP="00956F1B">
      <w:pPr>
        <w:pStyle w:val="ListParagraph"/>
        <w:numPr>
          <w:ilvl w:val="0"/>
          <w:numId w:val="17"/>
        </w:numPr>
        <w:rPr>
          <w:bCs/>
          <w:iCs/>
        </w:rPr>
      </w:pPr>
      <w:r w:rsidRPr="00956F1B">
        <w:rPr>
          <w:bCs/>
          <w:iCs/>
        </w:rPr>
        <w:t>SGC reserves the right to change product items at any time throughout the duration of the contract.</w:t>
      </w:r>
    </w:p>
    <w:p w14:paraId="325A0F76" w14:textId="4528D66A" w:rsidR="00956F1B" w:rsidRPr="00956F1B" w:rsidRDefault="00956F1B" w:rsidP="00956F1B">
      <w:pPr>
        <w:pStyle w:val="ListParagraph"/>
        <w:numPr>
          <w:ilvl w:val="0"/>
          <w:numId w:val="17"/>
        </w:numPr>
        <w:rPr>
          <w:bCs/>
          <w:iCs/>
        </w:rPr>
      </w:pPr>
      <w:r w:rsidRPr="00956F1B">
        <w:rPr>
          <w:bCs/>
          <w:iCs/>
        </w:rPr>
        <w:t>SGC will consider supplier recommendations to product item changes, but will require vendor explanation and justification, as well as product samples.</w:t>
      </w:r>
    </w:p>
    <w:p w14:paraId="5609BD70" w14:textId="5F6FE0AD" w:rsidR="00377F03" w:rsidRPr="00956F1B" w:rsidRDefault="00377F03" w:rsidP="00956F1B">
      <w:pPr>
        <w:spacing w:after="0"/>
        <w:ind w:left="1440"/>
        <w:rPr>
          <w:b/>
          <w:iCs/>
        </w:rPr>
      </w:pPr>
      <w:r w:rsidRPr="00956F1B">
        <w:rPr>
          <w:b/>
          <w:iCs/>
        </w:rPr>
        <w:t>DELIVERY</w:t>
      </w:r>
      <w:r w:rsidR="000A5C40">
        <w:rPr>
          <w:b/>
          <w:iCs/>
        </w:rPr>
        <w:t xml:space="preserve"> REQUIREMENTS</w:t>
      </w:r>
    </w:p>
    <w:p w14:paraId="459728AD" w14:textId="77777777" w:rsidR="000A5C40" w:rsidRDefault="000A5C40" w:rsidP="000A5C40">
      <w:pPr>
        <w:pStyle w:val="ListParagraph"/>
        <w:numPr>
          <w:ilvl w:val="0"/>
          <w:numId w:val="12"/>
        </w:numPr>
        <w:rPr>
          <w:bCs/>
          <w:iCs/>
        </w:rPr>
      </w:pPr>
      <w:r w:rsidRPr="00377F03">
        <w:rPr>
          <w:bCs/>
          <w:iCs/>
        </w:rPr>
        <w:t>It is expected that our orders will be filled and shipped within 2-3 work days</w:t>
      </w:r>
      <w:r>
        <w:rPr>
          <w:bCs/>
          <w:iCs/>
        </w:rPr>
        <w:t>.</w:t>
      </w:r>
      <w:r w:rsidRPr="00377F03">
        <w:rPr>
          <w:bCs/>
          <w:iCs/>
        </w:rPr>
        <w:t xml:space="preserve"> </w:t>
      </w:r>
    </w:p>
    <w:p w14:paraId="25F85514" w14:textId="5DDB2C63" w:rsidR="00480F1C" w:rsidRDefault="000A5C40" w:rsidP="00480F1C">
      <w:pPr>
        <w:pStyle w:val="ListParagraph"/>
        <w:numPr>
          <w:ilvl w:val="0"/>
          <w:numId w:val="12"/>
        </w:numPr>
        <w:rPr>
          <w:bCs/>
          <w:iCs/>
        </w:rPr>
      </w:pPr>
      <w:r>
        <w:rPr>
          <w:bCs/>
          <w:iCs/>
        </w:rPr>
        <w:t xml:space="preserve">Any palletized shipments must meet the following requirements; </w:t>
      </w:r>
    </w:p>
    <w:p w14:paraId="42412A56" w14:textId="77777777" w:rsidR="00480F1C" w:rsidRDefault="00480F1C" w:rsidP="00480F1C">
      <w:pPr>
        <w:pStyle w:val="ListParagraph"/>
        <w:numPr>
          <w:ilvl w:val="1"/>
          <w:numId w:val="12"/>
        </w:numPr>
        <w:rPr>
          <w:bCs/>
          <w:iCs/>
        </w:rPr>
      </w:pPr>
      <w:r w:rsidRPr="00480F1C">
        <w:rPr>
          <w:bCs/>
          <w:iCs/>
        </w:rPr>
        <w:t>Standard 48” x 40” pallets or smaller.</w:t>
      </w:r>
    </w:p>
    <w:p w14:paraId="57490B7F" w14:textId="77777777" w:rsidR="00480F1C" w:rsidRDefault="00480F1C" w:rsidP="00480F1C">
      <w:pPr>
        <w:pStyle w:val="ListParagraph"/>
        <w:numPr>
          <w:ilvl w:val="1"/>
          <w:numId w:val="12"/>
        </w:numPr>
        <w:rPr>
          <w:bCs/>
          <w:iCs/>
        </w:rPr>
      </w:pPr>
      <w:r w:rsidRPr="00480F1C">
        <w:rPr>
          <w:bCs/>
          <w:iCs/>
        </w:rPr>
        <w:t>Items cannot overhang the edges of the pallets.</w:t>
      </w:r>
    </w:p>
    <w:p w14:paraId="3B952B06" w14:textId="77777777" w:rsidR="00480F1C" w:rsidRDefault="00480F1C" w:rsidP="00480F1C">
      <w:pPr>
        <w:pStyle w:val="ListParagraph"/>
        <w:numPr>
          <w:ilvl w:val="1"/>
          <w:numId w:val="12"/>
        </w:numPr>
        <w:rPr>
          <w:bCs/>
          <w:iCs/>
        </w:rPr>
      </w:pPr>
      <w:r w:rsidRPr="00480F1C">
        <w:rPr>
          <w:bCs/>
          <w:iCs/>
        </w:rPr>
        <w:t>All pallets must be shrink-wrapped.</w:t>
      </w:r>
    </w:p>
    <w:p w14:paraId="191EA48F" w14:textId="77777777" w:rsidR="00480F1C" w:rsidRDefault="00480F1C" w:rsidP="00480F1C">
      <w:pPr>
        <w:pStyle w:val="ListParagraph"/>
        <w:numPr>
          <w:ilvl w:val="1"/>
          <w:numId w:val="12"/>
        </w:numPr>
        <w:rPr>
          <w:bCs/>
          <w:iCs/>
        </w:rPr>
      </w:pPr>
      <w:r w:rsidRPr="00480F1C">
        <w:rPr>
          <w:bCs/>
          <w:iCs/>
        </w:rPr>
        <w:t>All pallets cannot exceed 72” high – including the pallet.</w:t>
      </w:r>
    </w:p>
    <w:p w14:paraId="7AEB4146" w14:textId="77777777" w:rsidR="00480F1C" w:rsidRDefault="00480F1C" w:rsidP="00480F1C">
      <w:pPr>
        <w:pStyle w:val="ListParagraph"/>
        <w:numPr>
          <w:ilvl w:val="1"/>
          <w:numId w:val="12"/>
        </w:numPr>
        <w:rPr>
          <w:bCs/>
          <w:iCs/>
        </w:rPr>
      </w:pPr>
      <w:r w:rsidRPr="00480F1C">
        <w:rPr>
          <w:bCs/>
          <w:iCs/>
        </w:rPr>
        <w:t>Only pallets with no center support or one (1) support are acceptable.</w:t>
      </w:r>
    </w:p>
    <w:p w14:paraId="6A6B28BF" w14:textId="77777777" w:rsidR="00480F1C" w:rsidRDefault="00480F1C" w:rsidP="00480F1C">
      <w:pPr>
        <w:pStyle w:val="ListParagraph"/>
        <w:numPr>
          <w:ilvl w:val="1"/>
          <w:numId w:val="12"/>
        </w:numPr>
        <w:rPr>
          <w:bCs/>
          <w:iCs/>
        </w:rPr>
      </w:pPr>
      <w:r w:rsidRPr="00480F1C">
        <w:rPr>
          <w:bCs/>
          <w:iCs/>
        </w:rPr>
        <w:t>All pallets must be loaded straight forward in trucks – no side loading.</w:t>
      </w:r>
    </w:p>
    <w:p w14:paraId="4E9430E2" w14:textId="2355734F" w:rsidR="00FD3733" w:rsidRPr="00F6164C" w:rsidRDefault="00480F1C" w:rsidP="00F6164C">
      <w:pPr>
        <w:pStyle w:val="ListParagraph"/>
        <w:numPr>
          <w:ilvl w:val="1"/>
          <w:numId w:val="12"/>
        </w:numPr>
        <w:rPr>
          <w:bCs/>
          <w:iCs/>
        </w:rPr>
      </w:pPr>
      <w:r w:rsidRPr="00480F1C">
        <w:rPr>
          <w:bCs/>
          <w:iCs/>
        </w:rPr>
        <w:t>Non-compliant shipments will be returned at the vendor’s expense.</w:t>
      </w:r>
    </w:p>
    <w:p w14:paraId="26243C9F" w14:textId="77777777" w:rsidR="00FD3733" w:rsidRDefault="00FD3733" w:rsidP="00FD3733">
      <w:pPr>
        <w:pStyle w:val="ListParagraph"/>
        <w:numPr>
          <w:ilvl w:val="0"/>
          <w:numId w:val="16"/>
        </w:numPr>
        <w:rPr>
          <w:bCs/>
          <w:iCs/>
        </w:rPr>
      </w:pPr>
      <w:r w:rsidRPr="00956F1B">
        <w:rPr>
          <w:bCs/>
          <w:iCs/>
        </w:rPr>
        <w:t xml:space="preserve">In the event that an order is dropped for any SGC property, the vendor will be expected to recover and deliver the product within reason. </w:t>
      </w:r>
    </w:p>
    <w:p w14:paraId="27330420" w14:textId="4F0371EC" w:rsidR="00FD3733" w:rsidRDefault="00FD3733" w:rsidP="00FD3733">
      <w:pPr>
        <w:pStyle w:val="ListParagraph"/>
        <w:numPr>
          <w:ilvl w:val="0"/>
          <w:numId w:val="16"/>
        </w:numPr>
        <w:rPr>
          <w:bCs/>
          <w:iCs/>
        </w:rPr>
      </w:pPr>
      <w:r w:rsidRPr="00956F1B">
        <w:rPr>
          <w:bCs/>
          <w:iCs/>
        </w:rPr>
        <w:lastRenderedPageBreak/>
        <w:t>If SGC is required to purchase product from another source due to shortages that occur, the vendor shall be expected to reimburse SGC for any difference in the purchase price, if the alternate product costs more than the originally ordered product, and for any additional labor incurred by SGC.</w:t>
      </w:r>
    </w:p>
    <w:p w14:paraId="09707305" w14:textId="77777777" w:rsidR="000A5C40" w:rsidRDefault="000A5C40" w:rsidP="000A5C40">
      <w:pPr>
        <w:spacing w:after="0"/>
        <w:ind w:left="1440"/>
        <w:rPr>
          <w:b/>
          <w:iCs/>
        </w:rPr>
      </w:pPr>
      <w:r w:rsidRPr="000A5C40">
        <w:rPr>
          <w:b/>
          <w:iCs/>
        </w:rPr>
        <w:t>COMMUNICATION</w:t>
      </w:r>
    </w:p>
    <w:p w14:paraId="52365608" w14:textId="2848BC67" w:rsidR="000A5C40" w:rsidRPr="000A5C40" w:rsidRDefault="000A5C40" w:rsidP="000A5C40">
      <w:pPr>
        <w:ind w:left="1440"/>
        <w:rPr>
          <w:b/>
          <w:iCs/>
        </w:rPr>
      </w:pPr>
      <w:r w:rsidRPr="000A5C40">
        <w:rPr>
          <w:bCs/>
          <w:iCs/>
        </w:rPr>
        <w:t>SGC requires annual meetings, which are to include, but are not limited to, product trends, business development, sales history &amp; projections, open issues, delivery requirements, price changes, product development, business opportunities, invoicing &amp; payments, training opportunities, trade shows, etc.</w:t>
      </w:r>
    </w:p>
    <w:p w14:paraId="2FF895F4" w14:textId="77777777" w:rsidR="00E96538" w:rsidRPr="00961C9F" w:rsidRDefault="00E96538" w:rsidP="00E96538">
      <w:pPr>
        <w:pStyle w:val="Heading2"/>
        <w:rPr>
          <w:rFonts w:eastAsia="Times New Roman"/>
        </w:rPr>
      </w:pPr>
      <w:bookmarkStart w:id="17" w:name="_Toc160094264"/>
      <w:r w:rsidRPr="00961C9F">
        <w:rPr>
          <w:rFonts w:eastAsia="Times New Roman"/>
        </w:rPr>
        <w:t>Tax Exempt Status</w:t>
      </w:r>
      <w:bookmarkEnd w:id="17"/>
      <w:r w:rsidRPr="00961C9F">
        <w:rPr>
          <w:rFonts w:eastAsia="Times New Roman"/>
        </w:rPr>
        <w:t xml:space="preserve">  </w:t>
      </w:r>
    </w:p>
    <w:p w14:paraId="6E9D8E0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D5E7AF6" w14:textId="77777777" w:rsidR="00E96538" w:rsidRPr="00961C9F" w:rsidRDefault="00E96538" w:rsidP="00E96538">
      <w:pPr>
        <w:pStyle w:val="Heading2"/>
        <w:rPr>
          <w:rFonts w:eastAsia="Times New Roman"/>
        </w:rPr>
      </w:pPr>
      <w:bookmarkStart w:id="18" w:name="_Toc160094265"/>
      <w:r w:rsidRPr="00961C9F">
        <w:rPr>
          <w:rFonts w:eastAsia="Times New Roman"/>
        </w:rPr>
        <w:t>Payment Terms</w:t>
      </w:r>
      <w:bookmarkEnd w:id="18"/>
      <w:r w:rsidRPr="00961C9F">
        <w:rPr>
          <w:rFonts w:eastAsia="Times New Roman"/>
        </w:rPr>
        <w:t xml:space="preserve"> </w:t>
      </w:r>
    </w:p>
    <w:p w14:paraId="1C9FEFBC"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EBCB3E6" w14:textId="77777777" w:rsidR="00E96538" w:rsidRPr="000B3F3F" w:rsidRDefault="00E96538" w:rsidP="00E96538">
      <w:pPr>
        <w:pStyle w:val="Heading1"/>
        <w:rPr>
          <w:rFonts w:eastAsia="Times New Roman"/>
        </w:rPr>
      </w:pPr>
      <w:bookmarkStart w:id="19" w:name="_Toc160094266"/>
      <w:r>
        <w:rPr>
          <w:rFonts w:eastAsia="Times New Roman"/>
        </w:rPr>
        <w:t>Supplemental Bidder Information</w:t>
      </w:r>
      <w:bookmarkEnd w:id="19"/>
    </w:p>
    <w:p w14:paraId="684E45A9" w14:textId="77777777" w:rsidR="00E96538" w:rsidRPr="00961C9F" w:rsidRDefault="00E96538" w:rsidP="00E96538">
      <w:pPr>
        <w:pStyle w:val="Heading2"/>
        <w:rPr>
          <w:rFonts w:eastAsia="Times New Roman"/>
        </w:rPr>
      </w:pPr>
      <w:bookmarkStart w:id="20" w:name="_Toc160094267"/>
      <w:r w:rsidRPr="00961C9F">
        <w:rPr>
          <w:rFonts w:eastAsia="Times New Roman"/>
        </w:rPr>
        <w:t>Business Continuity</w:t>
      </w:r>
      <w:bookmarkEnd w:id="20"/>
    </w:p>
    <w:p w14:paraId="1DD34CB2" w14:textId="0585331C" w:rsidR="00E96538" w:rsidRPr="00A93508" w:rsidRDefault="00E96538" w:rsidP="00E96538">
      <w:pPr>
        <w:spacing w:after="120" w:line="240" w:lineRule="auto"/>
        <w:ind w:left="1440"/>
        <w:jc w:val="both"/>
        <w:rPr>
          <w:rFonts w:eastAsia="Times New Roman" w:cstheme="minorHAnsi"/>
          <w:b/>
        </w:rPr>
      </w:pPr>
      <w:r w:rsidRPr="00A93508">
        <w:rPr>
          <w:rFonts w:eastAsia="Times New Roman" w:cstheme="minorHAnsi"/>
        </w:rPr>
        <w:t xml:space="preserve">For RFP’s involving strategic commodities/services, provide an overview of your disaster recovery/business continuity plan (the “Plan”).  The Plan indicates how Bidder minimizes the risk of interruption to Bidder’s ability to provide the goods and/or services contemplated in this RFP in the event of specified </w:t>
      </w:r>
      <w:r w:rsidR="00D06362" w:rsidRPr="00A93508">
        <w:rPr>
          <w:rFonts w:eastAsia="Times New Roman" w:cstheme="minorHAnsi"/>
        </w:rPr>
        <w:t>occurrence;</w:t>
      </w:r>
      <w:r w:rsidRPr="00A93508">
        <w:rPr>
          <w:rFonts w:eastAsia="Times New Roman" w:cstheme="minorHAnsi"/>
        </w:rPr>
        <w:t xml:space="preserve"> Bidder’s critical supplier strategy to ensure continuity of suppliers in such event; and </w:t>
      </w:r>
      <w:r w:rsidR="00D06362" w:rsidRPr="00A93508">
        <w:rPr>
          <w:rFonts w:eastAsia="Times New Roman" w:cstheme="minorHAnsi"/>
        </w:rPr>
        <w:t>Bidder’s process</w:t>
      </w:r>
      <w:r w:rsidRPr="00A93508">
        <w:rPr>
          <w:rFonts w:eastAsia="Times New Roman" w:cstheme="minorHAnsi"/>
        </w:rPr>
        <w:t xml:space="preserve"> or criteria for prioritizing customer demands during a crisis.</w:t>
      </w:r>
    </w:p>
    <w:p w14:paraId="4E321C82" w14:textId="77777777" w:rsidR="00E96538" w:rsidRPr="00961C9F" w:rsidRDefault="00E96538" w:rsidP="00E96538">
      <w:pPr>
        <w:pStyle w:val="Heading2"/>
        <w:rPr>
          <w:rFonts w:eastAsia="Times New Roman"/>
        </w:rPr>
      </w:pPr>
      <w:bookmarkStart w:id="21" w:name="_Toc160094268"/>
      <w:r w:rsidRPr="00961C9F">
        <w:rPr>
          <w:rFonts w:eastAsia="Times New Roman"/>
        </w:rPr>
        <w:t>Conformity of Proposal with SGC Requirements</w:t>
      </w:r>
      <w:bookmarkEnd w:id="21"/>
    </w:p>
    <w:p w14:paraId="737C8AE1"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BE8C9E9" w14:textId="77777777" w:rsidR="00E96538" w:rsidRPr="00961C9F" w:rsidRDefault="00E96538" w:rsidP="00E96538">
      <w:pPr>
        <w:pStyle w:val="Heading1"/>
        <w:rPr>
          <w:rFonts w:eastAsia="Times New Roman"/>
        </w:rPr>
      </w:pPr>
      <w:bookmarkStart w:id="22" w:name="_Toc160094269"/>
      <w:r w:rsidRPr="00961C9F">
        <w:rPr>
          <w:rFonts w:eastAsia="Times New Roman"/>
        </w:rPr>
        <w:t>Vendor Requirements</w:t>
      </w:r>
      <w:bookmarkEnd w:id="22"/>
    </w:p>
    <w:p w14:paraId="7C969FF8" w14:textId="77777777" w:rsidR="00E96538" w:rsidRPr="00961C9F" w:rsidRDefault="00E96538" w:rsidP="00E96538">
      <w:pPr>
        <w:pStyle w:val="Heading2"/>
        <w:rPr>
          <w:rFonts w:eastAsia="Times New Roman"/>
        </w:rPr>
      </w:pPr>
      <w:bookmarkStart w:id="23" w:name="_Toc160094270"/>
      <w:r w:rsidRPr="00961C9F">
        <w:rPr>
          <w:rFonts w:eastAsia="Times New Roman"/>
        </w:rPr>
        <w:t>Proposal</w:t>
      </w:r>
      <w:bookmarkEnd w:id="23"/>
      <w:r w:rsidRPr="00961C9F">
        <w:rPr>
          <w:rFonts w:eastAsia="Times New Roman"/>
        </w:rPr>
        <w:t xml:space="preserve"> </w:t>
      </w:r>
    </w:p>
    <w:p w14:paraId="3983F35E"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59F2CF8F" w14:textId="77777777" w:rsidR="00E96538" w:rsidRPr="00961C9F" w:rsidRDefault="00E96538" w:rsidP="00E96538">
      <w:pPr>
        <w:pStyle w:val="Heading2"/>
        <w:rPr>
          <w:rFonts w:eastAsia="Times New Roman"/>
        </w:rPr>
      </w:pPr>
      <w:bookmarkStart w:id="24" w:name="_Toc160094271"/>
      <w:r w:rsidRPr="00961C9F">
        <w:rPr>
          <w:rFonts w:eastAsia="Times New Roman"/>
        </w:rPr>
        <w:t>Standard Supply Agreement</w:t>
      </w:r>
      <w:bookmarkEnd w:id="24"/>
    </w:p>
    <w:p w14:paraId="53119696" w14:textId="4FACE915" w:rsidR="00E96538" w:rsidRPr="00A93508" w:rsidRDefault="00E96538" w:rsidP="00E96538">
      <w:pPr>
        <w:autoSpaceDE w:val="0"/>
        <w:autoSpaceDN w:val="0"/>
        <w:adjustRightInd w:val="0"/>
        <w:spacing w:after="120" w:line="240" w:lineRule="auto"/>
        <w:ind w:left="1440"/>
        <w:jc w:val="both"/>
        <w:rPr>
          <w:rFonts w:eastAsia="Times New Roman" w:cstheme="minorHAnsi"/>
          <w:sz w:val="24"/>
          <w:szCs w:val="24"/>
        </w:rPr>
      </w:pPr>
      <w:r w:rsidRPr="00A93508">
        <w:rPr>
          <w:rFonts w:eastAsia="Times New Roman" w:cstheme="minorHAnsi"/>
        </w:rPr>
        <w:t>Successful Bidder will be expected to sign SGC’s standard supply agreement, subject to such changes as are necessary to reflect the terms of this RFP and Successful Bidder’s bid or proposal, and such further changes as the parties, acting reasonably, may agree.</w:t>
      </w:r>
    </w:p>
    <w:p w14:paraId="15FB3073" w14:textId="77777777" w:rsidR="00D72C9A" w:rsidRDefault="00D72C9A" w:rsidP="00D72C9A">
      <w:pPr>
        <w:pStyle w:val="Heading2"/>
        <w:rPr>
          <w:rFonts w:eastAsia="Times New Roman"/>
        </w:rPr>
      </w:pPr>
      <w:bookmarkStart w:id="25" w:name="_Toc160094272"/>
      <w:r>
        <w:rPr>
          <w:rFonts w:eastAsia="Times New Roman"/>
        </w:rPr>
        <w:lastRenderedPageBreak/>
        <w:t>Seneca Nation Business Registration Fee (SNIBRF)</w:t>
      </w:r>
      <w:bookmarkEnd w:id="25"/>
    </w:p>
    <w:p w14:paraId="607E7475" w14:textId="77777777" w:rsidR="00D72C9A" w:rsidRPr="001A2AE3" w:rsidRDefault="00D72C9A" w:rsidP="001A2AE3">
      <w:pPr>
        <w:rPr>
          <w:rFonts w:eastAsia="Times New Roman" w:cstheme="minorHAnsi"/>
          <w:color w:val="FF0000"/>
        </w:rPr>
      </w:pPr>
      <w:r>
        <w:tab/>
      </w:r>
      <w:r w:rsidR="006A7F0E" w:rsidRPr="00A93508">
        <w:tab/>
      </w:r>
      <w:r w:rsidRPr="00A93508">
        <w:rPr>
          <w:rFonts w:eastAsia="Times New Roman" w:cstheme="minorHAnsi"/>
        </w:rPr>
        <w:t xml:space="preserve">Vendor must pay the SNIBRF of $750 directly to the Seneca Gaming Authority once total </w:t>
      </w:r>
      <w:r w:rsidRPr="00A93508">
        <w:rPr>
          <w:rFonts w:eastAsia="Times New Roman" w:cstheme="minorHAnsi"/>
        </w:rPr>
        <w:tab/>
      </w:r>
      <w:r w:rsidRPr="00A93508">
        <w:rPr>
          <w:rFonts w:eastAsia="Times New Roman" w:cstheme="minorHAnsi"/>
        </w:rPr>
        <w:tab/>
        <w:t xml:space="preserve">payment to the vendor exceeds $10,000.  Failure to pay the fee when required may </w:t>
      </w:r>
      <w:r w:rsidRPr="00A93508">
        <w:rPr>
          <w:rFonts w:eastAsia="Times New Roman" w:cstheme="minorHAnsi"/>
        </w:rPr>
        <w:tab/>
      </w:r>
      <w:r w:rsidRPr="00A93508">
        <w:rPr>
          <w:rFonts w:eastAsia="Times New Roman" w:cstheme="minorHAnsi"/>
        </w:rPr>
        <w:tab/>
      </w:r>
      <w:r w:rsidRPr="00A93508">
        <w:rPr>
          <w:rFonts w:eastAsia="Times New Roman" w:cstheme="minorHAnsi"/>
        </w:rPr>
        <w:tab/>
        <w:t>result in termination of further business with Seneca Gaming Corporation.</w:t>
      </w:r>
    </w:p>
    <w:p w14:paraId="26FF8941" w14:textId="77777777" w:rsidR="00E96538" w:rsidRDefault="00E96538">
      <w:pPr>
        <w:pStyle w:val="Heading2"/>
        <w:numPr>
          <w:ilvl w:val="0"/>
          <w:numId w:val="0"/>
        </w:numPr>
        <w:ind w:left="720"/>
        <w:rPr>
          <w:rFonts w:eastAsia="Times New Roman"/>
          <w:sz w:val="32"/>
          <w:szCs w:val="32"/>
        </w:rPr>
        <w:pPrChange w:id="26" w:author="Lou Anderson" w:date="2022-03-03T14:49:00Z">
          <w:pPr>
            <w:ind w:left="1440"/>
            <w:jc w:val="both"/>
          </w:pPr>
        </w:pPrChange>
      </w:pPr>
      <w:r>
        <w:rPr>
          <w:rFonts w:eastAsia="Times New Roman"/>
        </w:rPr>
        <w:br w:type="page"/>
      </w:r>
    </w:p>
    <w:p w14:paraId="34414F31" w14:textId="77777777" w:rsidR="00E96538" w:rsidRDefault="00E96538" w:rsidP="00E96538">
      <w:pPr>
        <w:pStyle w:val="Heading1"/>
        <w:rPr>
          <w:rFonts w:eastAsia="Times New Roman"/>
        </w:rPr>
      </w:pPr>
      <w:bookmarkStart w:id="27" w:name="_Toc160094273"/>
      <w:r>
        <w:rPr>
          <w:rFonts w:eastAsia="Times New Roman"/>
        </w:rPr>
        <w:lastRenderedPageBreak/>
        <w:t xml:space="preserve">Bidder </w:t>
      </w:r>
      <w:r w:rsidRPr="0034489C">
        <w:rPr>
          <w:rFonts w:eastAsia="Times New Roman"/>
        </w:rPr>
        <w:t>Cert</w:t>
      </w:r>
      <w:r>
        <w:rPr>
          <w:rFonts w:eastAsia="Times New Roman"/>
        </w:rPr>
        <w:t>ifications and Representations</w:t>
      </w:r>
      <w:bookmarkEnd w:id="27"/>
    </w:p>
    <w:p w14:paraId="4887D6B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1E44914F"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478735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92E8D17"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79E779F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403E743C"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FDFF88"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940E729"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F0F92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0C93C85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1C7912F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6BD9360A"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6FB1333"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691C3EDA"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7BA41B4A"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61B7EDE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82D9E49"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FBC2" w14:textId="77777777" w:rsidR="00D72C9A" w:rsidRDefault="00D72C9A">
      <w:pPr>
        <w:spacing w:after="0" w:line="240" w:lineRule="auto"/>
      </w:pPr>
      <w:r>
        <w:separator/>
      </w:r>
    </w:p>
  </w:endnote>
  <w:endnote w:type="continuationSeparator" w:id="0">
    <w:p w14:paraId="2F68D7B3"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44E0B47"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7BF0" w14:textId="77777777" w:rsidR="00D72C9A" w:rsidRDefault="00D72C9A">
      <w:pPr>
        <w:spacing w:after="0" w:line="240" w:lineRule="auto"/>
      </w:pPr>
      <w:r>
        <w:separator/>
      </w:r>
    </w:p>
  </w:footnote>
  <w:footnote w:type="continuationSeparator" w:id="0">
    <w:p w14:paraId="437DEC20"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AF6"/>
    <w:multiLevelType w:val="hybridMultilevel"/>
    <w:tmpl w:val="9DC407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C4436C"/>
    <w:multiLevelType w:val="hybridMultilevel"/>
    <w:tmpl w:val="9DA8D7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AF35F7"/>
    <w:multiLevelType w:val="hybridMultilevel"/>
    <w:tmpl w:val="1DC205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A2DBC"/>
    <w:multiLevelType w:val="hybridMultilevel"/>
    <w:tmpl w:val="9C6691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1E5F46"/>
    <w:multiLevelType w:val="hybridMultilevel"/>
    <w:tmpl w:val="9272C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3B22701"/>
    <w:multiLevelType w:val="hybridMultilevel"/>
    <w:tmpl w:val="FD9E35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5140084"/>
    <w:multiLevelType w:val="hybridMultilevel"/>
    <w:tmpl w:val="0644BC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05B7ED3"/>
    <w:multiLevelType w:val="hybridMultilevel"/>
    <w:tmpl w:val="9676A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0A339EC"/>
    <w:multiLevelType w:val="hybridMultilevel"/>
    <w:tmpl w:val="A356A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67D40AF"/>
    <w:multiLevelType w:val="hybridMultilevel"/>
    <w:tmpl w:val="9970FB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E2B6154"/>
    <w:multiLevelType w:val="hybridMultilevel"/>
    <w:tmpl w:val="499EB5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B9F0FB8"/>
    <w:multiLevelType w:val="hybridMultilevel"/>
    <w:tmpl w:val="8BBE9D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6A431D8"/>
    <w:multiLevelType w:val="hybridMultilevel"/>
    <w:tmpl w:val="B44424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9"/>
  </w:num>
  <w:num w:numId="3">
    <w:abstractNumId w:val="6"/>
  </w:num>
  <w:num w:numId="4">
    <w:abstractNumId w:val="12"/>
  </w:num>
  <w:num w:numId="5">
    <w:abstractNumId w:val="10"/>
  </w:num>
  <w:num w:numId="6">
    <w:abstractNumId w:val="2"/>
  </w:num>
  <w:num w:numId="7">
    <w:abstractNumId w:val="13"/>
  </w:num>
  <w:num w:numId="8">
    <w:abstractNumId w:val="4"/>
  </w:num>
  <w:num w:numId="9">
    <w:abstractNumId w:val="18"/>
  </w:num>
  <w:num w:numId="10">
    <w:abstractNumId w:val="11"/>
  </w:num>
  <w:num w:numId="11">
    <w:abstractNumId w:val="14"/>
  </w:num>
  <w:num w:numId="12">
    <w:abstractNumId w:val="3"/>
  </w:num>
  <w:num w:numId="13">
    <w:abstractNumId w:val="17"/>
  </w:num>
  <w:num w:numId="14">
    <w:abstractNumId w:val="0"/>
  </w:num>
  <w:num w:numId="15">
    <w:abstractNumId w:val="1"/>
  </w:num>
  <w:num w:numId="16">
    <w:abstractNumId w:val="7"/>
  </w:num>
  <w:num w:numId="17">
    <w:abstractNumId w:val="5"/>
  </w:num>
  <w:num w:numId="18">
    <w:abstractNumId w:val="15"/>
  </w:num>
  <w:num w:numId="19">
    <w:abstractNumId w:val="8"/>
  </w:num>
  <w:num w:numId="20">
    <w:abstractNumId w:val="20"/>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 Anderson">
    <w15:presenceInfo w15:providerId="AD" w15:userId="S-1-5-21-527237240-602162358-725345543-9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05E0F"/>
    <w:rsid w:val="00096856"/>
    <w:rsid w:val="000A5C40"/>
    <w:rsid w:val="00120C39"/>
    <w:rsid w:val="001363D7"/>
    <w:rsid w:val="00193921"/>
    <w:rsid w:val="001A2AE3"/>
    <w:rsid w:val="0023713C"/>
    <w:rsid w:val="00237E51"/>
    <w:rsid w:val="00254CB6"/>
    <w:rsid w:val="00267FE1"/>
    <w:rsid w:val="00285EEC"/>
    <w:rsid w:val="002F7264"/>
    <w:rsid w:val="00377F03"/>
    <w:rsid w:val="003B540C"/>
    <w:rsid w:val="003E0A7E"/>
    <w:rsid w:val="003E25F2"/>
    <w:rsid w:val="00456E00"/>
    <w:rsid w:val="00457F12"/>
    <w:rsid w:val="00470E46"/>
    <w:rsid w:val="00480F1C"/>
    <w:rsid w:val="00492084"/>
    <w:rsid w:val="004D32F5"/>
    <w:rsid w:val="004F2163"/>
    <w:rsid w:val="00521341"/>
    <w:rsid w:val="005406C8"/>
    <w:rsid w:val="005A3D6B"/>
    <w:rsid w:val="00604994"/>
    <w:rsid w:val="00606B48"/>
    <w:rsid w:val="0069138E"/>
    <w:rsid w:val="006A381D"/>
    <w:rsid w:val="006A7F0E"/>
    <w:rsid w:val="006D5F9C"/>
    <w:rsid w:val="0077626A"/>
    <w:rsid w:val="00780230"/>
    <w:rsid w:val="007A3344"/>
    <w:rsid w:val="007F794E"/>
    <w:rsid w:val="00806F87"/>
    <w:rsid w:val="00834241"/>
    <w:rsid w:val="00866B0B"/>
    <w:rsid w:val="008A7C84"/>
    <w:rsid w:val="00956F1B"/>
    <w:rsid w:val="009D2F2D"/>
    <w:rsid w:val="009E2EBC"/>
    <w:rsid w:val="009F707B"/>
    <w:rsid w:val="00A44F14"/>
    <w:rsid w:val="00A66CA8"/>
    <w:rsid w:val="00A93508"/>
    <w:rsid w:val="00AA5889"/>
    <w:rsid w:val="00AE4851"/>
    <w:rsid w:val="00AF7A89"/>
    <w:rsid w:val="00B04250"/>
    <w:rsid w:val="00BF7A45"/>
    <w:rsid w:val="00C60AFF"/>
    <w:rsid w:val="00D06362"/>
    <w:rsid w:val="00D20F91"/>
    <w:rsid w:val="00D44FBF"/>
    <w:rsid w:val="00D72C9A"/>
    <w:rsid w:val="00DB7B7D"/>
    <w:rsid w:val="00E01374"/>
    <w:rsid w:val="00E21047"/>
    <w:rsid w:val="00E46A94"/>
    <w:rsid w:val="00E64B62"/>
    <w:rsid w:val="00E96538"/>
    <w:rsid w:val="00EE1A0E"/>
    <w:rsid w:val="00EE6F09"/>
    <w:rsid w:val="00F14AF1"/>
    <w:rsid w:val="00F6164C"/>
    <w:rsid w:val="00F75F30"/>
    <w:rsid w:val="00FD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235B"/>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paragraph" w:styleId="Revision">
    <w:name w:val="Revision"/>
    <w:hidden/>
    <w:uiPriority w:val="99"/>
    <w:semiHidden/>
    <w:rsid w:val="001A2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666588963">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7B5C6-0812-426F-A09D-98E355C5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12</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Matt Crvelin</cp:lastModifiedBy>
  <cp:revision>29</cp:revision>
  <dcterms:created xsi:type="dcterms:W3CDTF">2022-03-14T14:11:00Z</dcterms:created>
  <dcterms:modified xsi:type="dcterms:W3CDTF">2024-03-26T17:15:00Z</dcterms:modified>
</cp:coreProperties>
</file>