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73EC8" w:rsidP="00751BEA">
                                <w:pPr>
                                  <w:pStyle w:val="NoSpacing"/>
                                  <w:rPr>
                                    <w:color w:val="5B9BD5" w:themeColor="accent1"/>
                                    <w:sz w:val="40"/>
                                    <w:szCs w:val="40"/>
                                  </w:rPr>
                                </w:pPr>
                                <w:r>
                                  <w:rPr>
                                    <w:color w:val="5B9BD5" w:themeColor="accent1"/>
                                    <w:sz w:val="40"/>
                                    <w:szCs w:val="40"/>
                                  </w:rPr>
                                  <w:t xml:space="preserve">      </w:t>
                                </w:r>
                                <w:r w:rsidR="00D73A54">
                                  <w:rPr>
                                    <w:color w:val="5B9BD5" w:themeColor="accent1"/>
                                    <w:sz w:val="40"/>
                                    <w:szCs w:val="40"/>
                                  </w:rPr>
                                  <w:t>SNRC-0034</w:t>
                                </w:r>
                                <w:r w:rsidR="00751BEA">
                                  <w:rPr>
                                    <w:color w:val="5B9BD5" w:themeColor="accent1"/>
                                    <w:sz w:val="40"/>
                                    <w:szCs w:val="40"/>
                                  </w:rPr>
                                  <w:t>-2</w:t>
                                </w:r>
                                <w:r w:rsidR="00D73A54">
                                  <w:rPr>
                                    <w:color w:val="5B9BD5" w:themeColor="accent1"/>
                                    <w:sz w:val="40"/>
                                    <w:szCs w:val="40"/>
                                  </w:rPr>
                                  <w:t>1HW Boiler 2 Re-Tube Project</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73EC8" w:rsidP="00751BEA">
                          <w:pPr>
                            <w:pStyle w:val="NoSpacing"/>
                            <w:rPr>
                              <w:color w:val="5B9BD5" w:themeColor="accent1"/>
                              <w:sz w:val="40"/>
                              <w:szCs w:val="40"/>
                            </w:rPr>
                          </w:pPr>
                          <w:r>
                            <w:rPr>
                              <w:color w:val="5B9BD5" w:themeColor="accent1"/>
                              <w:sz w:val="40"/>
                              <w:szCs w:val="40"/>
                            </w:rPr>
                            <w:t xml:space="preserve">      </w:t>
                          </w:r>
                          <w:r w:rsidR="00D73A54">
                            <w:rPr>
                              <w:color w:val="5B9BD5" w:themeColor="accent1"/>
                              <w:sz w:val="40"/>
                              <w:szCs w:val="40"/>
                            </w:rPr>
                            <w:t>SNRC-0034</w:t>
                          </w:r>
                          <w:r w:rsidR="00751BEA">
                            <w:rPr>
                              <w:color w:val="5B9BD5" w:themeColor="accent1"/>
                              <w:sz w:val="40"/>
                              <w:szCs w:val="40"/>
                            </w:rPr>
                            <w:t>-2</w:t>
                          </w:r>
                          <w:r w:rsidR="00D73A54">
                            <w:rPr>
                              <w:color w:val="5B9BD5" w:themeColor="accent1"/>
                              <w:sz w:val="40"/>
                              <w:szCs w:val="40"/>
                            </w:rPr>
                            <w:t>1HW Boiler 2 Re-Tube Project</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D73A54" w:rsidP="00E96538">
                                <w:pPr>
                                  <w:pStyle w:val="NoSpacing"/>
                                  <w:jc w:val="right"/>
                                  <w:rPr>
                                    <w:color w:val="5B9BD5" w:themeColor="accent1"/>
                                    <w:sz w:val="24"/>
                                    <w:szCs w:val="24"/>
                                  </w:rPr>
                                </w:pPr>
                                <w:r>
                                  <w:rPr>
                                    <w:color w:val="5B9BD5" w:themeColor="accent1"/>
                                    <w:sz w:val="24"/>
                                    <w:szCs w:val="24"/>
                                  </w:rPr>
                                  <w:t>April 12</w:t>
                                </w:r>
                                <w:r w:rsidR="00751BEA">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D73A54" w:rsidP="00E96538">
                          <w:pPr>
                            <w:pStyle w:val="NoSpacing"/>
                            <w:jc w:val="right"/>
                            <w:rPr>
                              <w:color w:val="5B9BD5" w:themeColor="accent1"/>
                              <w:sz w:val="24"/>
                              <w:szCs w:val="24"/>
                            </w:rPr>
                          </w:pPr>
                          <w:r>
                            <w:rPr>
                              <w:color w:val="5B9BD5" w:themeColor="accent1"/>
                              <w:sz w:val="24"/>
                              <w:szCs w:val="24"/>
                            </w:rPr>
                            <w:t>April 12</w:t>
                          </w:r>
                          <w:r w:rsidR="00751BEA">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6410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835DC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EE6F0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7988920" w:history="1">
            <w:r w:rsidR="00EE6F09" w:rsidRPr="00967BB6">
              <w:rPr>
                <w:rStyle w:val="Hyperlink"/>
                <w:noProof/>
              </w:rPr>
              <w:t>I.</w:t>
            </w:r>
            <w:r w:rsidR="00EE6F09">
              <w:rPr>
                <w:rFonts w:eastAsiaTheme="minorEastAsia"/>
                <w:noProof/>
              </w:rPr>
              <w:tab/>
            </w:r>
            <w:r w:rsidR="00EE6F09" w:rsidRPr="00967BB6">
              <w:rPr>
                <w:rStyle w:val="Hyperlink"/>
                <w:noProof/>
              </w:rPr>
              <w:t>Introduction</w:t>
            </w:r>
            <w:r w:rsidR="00EE6F09">
              <w:rPr>
                <w:noProof/>
                <w:webHidden/>
              </w:rPr>
              <w:tab/>
            </w:r>
            <w:r w:rsidR="00EE6F09">
              <w:rPr>
                <w:noProof/>
                <w:webHidden/>
              </w:rPr>
              <w:fldChar w:fldCharType="begin"/>
            </w:r>
            <w:r w:rsidR="00EE6F09">
              <w:rPr>
                <w:noProof/>
                <w:webHidden/>
              </w:rPr>
              <w:instrText xml:space="preserve"> PAGEREF _Toc17988920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1"/>
            <w:tabs>
              <w:tab w:val="left" w:pos="440"/>
              <w:tab w:val="right" w:leader="dot" w:pos="9350"/>
            </w:tabs>
            <w:rPr>
              <w:rFonts w:eastAsiaTheme="minorEastAsia"/>
              <w:noProof/>
            </w:rPr>
          </w:pPr>
          <w:hyperlink w:anchor="_Toc17988921" w:history="1">
            <w:r w:rsidR="00EE6F09" w:rsidRPr="00967BB6">
              <w:rPr>
                <w:rStyle w:val="Hyperlink"/>
                <w:noProof/>
              </w:rPr>
              <w:t>II.</w:t>
            </w:r>
            <w:r w:rsidR="00EE6F09">
              <w:rPr>
                <w:rFonts w:eastAsiaTheme="minorEastAsia"/>
                <w:noProof/>
              </w:rPr>
              <w:tab/>
            </w:r>
            <w:r w:rsidR="00EE6F09" w:rsidRPr="00967BB6">
              <w:rPr>
                <w:rStyle w:val="Hyperlink"/>
                <w:noProof/>
              </w:rPr>
              <w:t>RFP Objective</w:t>
            </w:r>
            <w:r w:rsidR="00EE6F09">
              <w:rPr>
                <w:noProof/>
                <w:webHidden/>
              </w:rPr>
              <w:tab/>
            </w:r>
            <w:r w:rsidR="00EE6F09">
              <w:rPr>
                <w:noProof/>
                <w:webHidden/>
              </w:rPr>
              <w:fldChar w:fldCharType="begin"/>
            </w:r>
            <w:r w:rsidR="00EE6F09">
              <w:rPr>
                <w:noProof/>
                <w:webHidden/>
              </w:rPr>
              <w:instrText xml:space="preserve"> PAGEREF _Toc17988921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1"/>
            <w:tabs>
              <w:tab w:val="left" w:pos="660"/>
              <w:tab w:val="right" w:leader="dot" w:pos="9350"/>
            </w:tabs>
            <w:rPr>
              <w:rFonts w:eastAsiaTheme="minorEastAsia"/>
              <w:noProof/>
            </w:rPr>
          </w:pPr>
          <w:hyperlink w:anchor="_Toc17988922" w:history="1">
            <w:r w:rsidR="00EE6F09" w:rsidRPr="00967BB6">
              <w:rPr>
                <w:rStyle w:val="Hyperlink"/>
                <w:noProof/>
              </w:rPr>
              <w:t>III.</w:t>
            </w:r>
            <w:r w:rsidR="00EE6F09">
              <w:rPr>
                <w:rFonts w:eastAsiaTheme="minorEastAsia"/>
                <w:noProof/>
              </w:rPr>
              <w:tab/>
            </w:r>
            <w:r w:rsidR="00EE6F09" w:rsidRPr="00967BB6">
              <w:rPr>
                <w:rStyle w:val="Hyperlink"/>
                <w:noProof/>
              </w:rPr>
              <w:t>RFP Administrative Information</w:t>
            </w:r>
            <w:r w:rsidR="00EE6F09">
              <w:rPr>
                <w:noProof/>
                <w:webHidden/>
              </w:rPr>
              <w:tab/>
            </w:r>
            <w:r w:rsidR="00EE6F09">
              <w:rPr>
                <w:noProof/>
                <w:webHidden/>
              </w:rPr>
              <w:fldChar w:fldCharType="begin"/>
            </w:r>
            <w:r w:rsidR="00EE6F09">
              <w:rPr>
                <w:noProof/>
                <w:webHidden/>
              </w:rPr>
              <w:instrText xml:space="preserve"> PAGEREF _Toc17988922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2"/>
            <w:tabs>
              <w:tab w:val="left" w:pos="660"/>
              <w:tab w:val="right" w:leader="dot" w:pos="9350"/>
            </w:tabs>
            <w:rPr>
              <w:rFonts w:eastAsiaTheme="minorEastAsia"/>
              <w:noProof/>
            </w:rPr>
          </w:pPr>
          <w:hyperlink w:anchor="_Toc17988923" w:history="1">
            <w:r w:rsidR="00EE6F09" w:rsidRPr="00967BB6">
              <w:rPr>
                <w:rStyle w:val="Hyperlink"/>
                <w:noProof/>
              </w:rPr>
              <w:t>A.</w:t>
            </w:r>
            <w:r w:rsidR="00EE6F09">
              <w:rPr>
                <w:rFonts w:eastAsiaTheme="minorEastAsia"/>
                <w:noProof/>
              </w:rPr>
              <w:tab/>
            </w:r>
            <w:r w:rsidR="00EE6F09" w:rsidRPr="00967BB6">
              <w:rPr>
                <w:rStyle w:val="Hyperlink"/>
                <w:noProof/>
              </w:rPr>
              <w:t>Contact Information</w:t>
            </w:r>
            <w:r w:rsidR="00EE6F09">
              <w:rPr>
                <w:noProof/>
                <w:webHidden/>
              </w:rPr>
              <w:tab/>
            </w:r>
            <w:r w:rsidR="00EE6F09">
              <w:rPr>
                <w:noProof/>
                <w:webHidden/>
              </w:rPr>
              <w:fldChar w:fldCharType="begin"/>
            </w:r>
            <w:r w:rsidR="00EE6F09">
              <w:rPr>
                <w:noProof/>
                <w:webHidden/>
              </w:rPr>
              <w:instrText xml:space="preserve"> PAGEREF _Toc17988923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2"/>
            <w:tabs>
              <w:tab w:val="left" w:pos="660"/>
              <w:tab w:val="right" w:leader="dot" w:pos="9350"/>
            </w:tabs>
            <w:rPr>
              <w:rFonts w:eastAsiaTheme="minorEastAsia"/>
              <w:noProof/>
            </w:rPr>
          </w:pPr>
          <w:hyperlink w:anchor="_Toc17988924" w:history="1">
            <w:r w:rsidR="00EE6F09" w:rsidRPr="00967BB6">
              <w:rPr>
                <w:rStyle w:val="Hyperlink"/>
                <w:noProof/>
              </w:rPr>
              <w:t>B.</w:t>
            </w:r>
            <w:r w:rsidR="00EE6F09">
              <w:rPr>
                <w:rFonts w:eastAsiaTheme="minorEastAsia"/>
                <w:noProof/>
              </w:rPr>
              <w:tab/>
            </w:r>
            <w:r w:rsidR="00EE6F09" w:rsidRPr="00967BB6">
              <w:rPr>
                <w:rStyle w:val="Hyperlink"/>
                <w:noProof/>
              </w:rPr>
              <w:t>Schedule of Events</w:t>
            </w:r>
            <w:r w:rsidR="00EE6F09">
              <w:rPr>
                <w:noProof/>
                <w:webHidden/>
              </w:rPr>
              <w:tab/>
            </w:r>
            <w:r w:rsidR="00EE6F09">
              <w:rPr>
                <w:noProof/>
                <w:webHidden/>
              </w:rPr>
              <w:fldChar w:fldCharType="begin"/>
            </w:r>
            <w:r w:rsidR="00EE6F09">
              <w:rPr>
                <w:noProof/>
                <w:webHidden/>
              </w:rPr>
              <w:instrText xml:space="preserve"> PAGEREF _Toc17988924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2"/>
            <w:tabs>
              <w:tab w:val="left" w:pos="660"/>
              <w:tab w:val="right" w:leader="dot" w:pos="9350"/>
            </w:tabs>
            <w:rPr>
              <w:rFonts w:eastAsiaTheme="minorEastAsia"/>
              <w:noProof/>
            </w:rPr>
          </w:pPr>
          <w:hyperlink w:anchor="_Toc17988925" w:history="1">
            <w:r w:rsidR="00EE6F09" w:rsidRPr="00967BB6">
              <w:rPr>
                <w:rStyle w:val="Hyperlink"/>
                <w:rFonts w:eastAsia="Times New Roman"/>
                <w:noProof/>
              </w:rPr>
              <w:t>C.</w:t>
            </w:r>
            <w:r w:rsidR="00EE6F09">
              <w:rPr>
                <w:rFonts w:eastAsiaTheme="minorEastAsia"/>
                <w:noProof/>
              </w:rPr>
              <w:tab/>
            </w:r>
            <w:r w:rsidR="00EE6F09" w:rsidRPr="00967BB6">
              <w:rPr>
                <w:rStyle w:val="Hyperlink"/>
                <w:rFonts w:eastAsia="Times New Roman"/>
                <w:noProof/>
              </w:rPr>
              <w:t>Intent to Bid</w:t>
            </w:r>
            <w:r w:rsidR="00EE6F09">
              <w:rPr>
                <w:noProof/>
                <w:webHidden/>
              </w:rPr>
              <w:tab/>
            </w:r>
            <w:r w:rsidR="00EE6F09">
              <w:rPr>
                <w:noProof/>
                <w:webHidden/>
              </w:rPr>
              <w:fldChar w:fldCharType="begin"/>
            </w:r>
            <w:r w:rsidR="00EE6F09">
              <w:rPr>
                <w:noProof/>
                <w:webHidden/>
              </w:rPr>
              <w:instrText xml:space="preserve"> PAGEREF _Toc17988925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2"/>
            <w:tabs>
              <w:tab w:val="left" w:pos="660"/>
              <w:tab w:val="right" w:leader="dot" w:pos="9350"/>
            </w:tabs>
            <w:rPr>
              <w:rFonts w:eastAsiaTheme="minorEastAsia"/>
              <w:noProof/>
            </w:rPr>
          </w:pPr>
          <w:hyperlink w:anchor="_Toc17988926" w:history="1">
            <w:r w:rsidR="00EE6F09" w:rsidRPr="00967BB6">
              <w:rPr>
                <w:rStyle w:val="Hyperlink"/>
                <w:rFonts w:eastAsia="Times New Roman"/>
                <w:noProof/>
              </w:rPr>
              <w:t>D.</w:t>
            </w:r>
            <w:r w:rsidR="00EE6F09">
              <w:rPr>
                <w:rFonts w:eastAsiaTheme="minorEastAsia"/>
                <w:noProof/>
              </w:rPr>
              <w:tab/>
            </w:r>
            <w:r w:rsidR="00EE6F09" w:rsidRPr="00967BB6">
              <w:rPr>
                <w:rStyle w:val="Hyperlink"/>
                <w:rFonts w:eastAsia="Times New Roman"/>
                <w:noProof/>
              </w:rPr>
              <w:t>Bidder Questions</w:t>
            </w:r>
            <w:r w:rsidR="00EE6F09">
              <w:rPr>
                <w:noProof/>
                <w:webHidden/>
              </w:rPr>
              <w:tab/>
            </w:r>
            <w:r w:rsidR="00EE6F09">
              <w:rPr>
                <w:noProof/>
                <w:webHidden/>
              </w:rPr>
              <w:fldChar w:fldCharType="begin"/>
            </w:r>
            <w:r w:rsidR="00EE6F09">
              <w:rPr>
                <w:noProof/>
                <w:webHidden/>
              </w:rPr>
              <w:instrText xml:space="preserve"> PAGEREF _Toc17988926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D64102">
          <w:pPr>
            <w:pStyle w:val="TOC2"/>
            <w:tabs>
              <w:tab w:val="left" w:pos="660"/>
              <w:tab w:val="right" w:leader="dot" w:pos="9350"/>
            </w:tabs>
            <w:rPr>
              <w:rFonts w:eastAsiaTheme="minorEastAsia"/>
              <w:noProof/>
            </w:rPr>
          </w:pPr>
          <w:hyperlink w:anchor="_Toc17988927" w:history="1">
            <w:r w:rsidR="00EE6F09" w:rsidRPr="00967BB6">
              <w:rPr>
                <w:rStyle w:val="Hyperlink"/>
                <w:rFonts w:eastAsia="Times New Roman"/>
                <w:noProof/>
              </w:rPr>
              <w:t>E.</w:t>
            </w:r>
            <w:r w:rsidR="00EE6F09">
              <w:rPr>
                <w:rFonts w:eastAsiaTheme="minorEastAsia"/>
                <w:noProof/>
              </w:rPr>
              <w:tab/>
            </w:r>
            <w:r w:rsidR="00EE6F09" w:rsidRPr="00967BB6">
              <w:rPr>
                <w:rStyle w:val="Hyperlink"/>
                <w:rFonts w:eastAsia="Times New Roman"/>
                <w:noProof/>
              </w:rPr>
              <w:t>Submission of Proposals</w:t>
            </w:r>
            <w:r w:rsidR="00EE6F09">
              <w:rPr>
                <w:noProof/>
                <w:webHidden/>
              </w:rPr>
              <w:tab/>
            </w:r>
            <w:r w:rsidR="003F286A">
              <w:rPr>
                <w:noProof/>
                <w:webHidden/>
              </w:rPr>
              <w:t>3</w:t>
            </w:r>
          </w:hyperlink>
        </w:p>
        <w:p w:rsidR="00EE6F09" w:rsidRDefault="00D64102">
          <w:pPr>
            <w:pStyle w:val="TOC2"/>
            <w:tabs>
              <w:tab w:val="left" w:pos="660"/>
              <w:tab w:val="right" w:leader="dot" w:pos="9350"/>
            </w:tabs>
            <w:rPr>
              <w:rFonts w:eastAsiaTheme="minorEastAsia"/>
              <w:noProof/>
            </w:rPr>
          </w:pPr>
          <w:hyperlink w:anchor="_Toc17988929" w:history="1">
            <w:r w:rsidR="008F5B82">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Format</w:t>
            </w:r>
            <w:r w:rsidR="00EE6F09">
              <w:rPr>
                <w:noProof/>
                <w:webHidden/>
              </w:rPr>
              <w:tab/>
            </w:r>
            <w:r w:rsidR="003F286A">
              <w:rPr>
                <w:noProof/>
                <w:webHidden/>
              </w:rPr>
              <w:t>3</w:t>
            </w:r>
          </w:hyperlink>
        </w:p>
        <w:p w:rsidR="00EE6F09" w:rsidRDefault="00D64102">
          <w:pPr>
            <w:pStyle w:val="TOC2"/>
            <w:tabs>
              <w:tab w:val="left" w:pos="660"/>
              <w:tab w:val="right" w:leader="dot" w:pos="9350"/>
            </w:tabs>
            <w:rPr>
              <w:rFonts w:eastAsiaTheme="minorEastAsia"/>
              <w:noProof/>
            </w:rPr>
          </w:pPr>
          <w:hyperlink w:anchor="_Toc17988930" w:history="1">
            <w:r w:rsidR="008F5B82">
              <w:rPr>
                <w:rStyle w:val="Hyperlink"/>
                <w:rFonts w:eastAsia="Times New Roman"/>
                <w:noProof/>
              </w:rPr>
              <w:t>G</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Evaluation/Vendor Selection</w:t>
            </w:r>
            <w:r w:rsidR="00EE6F09">
              <w:rPr>
                <w:noProof/>
                <w:webHidden/>
              </w:rPr>
              <w:tab/>
            </w:r>
            <w:r w:rsidR="003F286A">
              <w:rPr>
                <w:noProof/>
                <w:webHidden/>
              </w:rPr>
              <w:t>5</w:t>
            </w:r>
          </w:hyperlink>
        </w:p>
        <w:p w:rsidR="00EE6F09" w:rsidRDefault="00D64102">
          <w:pPr>
            <w:pStyle w:val="TOC2"/>
            <w:tabs>
              <w:tab w:val="left" w:pos="660"/>
              <w:tab w:val="right" w:leader="dot" w:pos="9350"/>
            </w:tabs>
            <w:rPr>
              <w:rFonts w:eastAsiaTheme="minorEastAsia"/>
              <w:noProof/>
            </w:rPr>
          </w:pPr>
          <w:hyperlink w:anchor="_Toc17988931" w:history="1">
            <w:r w:rsidR="008F5B82">
              <w:rPr>
                <w:rStyle w:val="Hyperlink"/>
                <w:rFonts w:eastAsia="Times New Roman"/>
                <w:noProof/>
              </w:rPr>
              <w:t>H.</w:t>
            </w:r>
            <w:r w:rsidR="00EE6F09">
              <w:rPr>
                <w:rFonts w:eastAsiaTheme="minorEastAsia"/>
                <w:noProof/>
              </w:rPr>
              <w:tab/>
            </w:r>
            <w:r w:rsidR="00EE6F09" w:rsidRPr="00967BB6">
              <w:rPr>
                <w:rStyle w:val="Hyperlink"/>
                <w:rFonts w:eastAsia="Times New Roman"/>
                <w:noProof/>
              </w:rPr>
              <w:t>General Bidder Information</w:t>
            </w:r>
            <w:r w:rsidR="00EE6F09">
              <w:rPr>
                <w:noProof/>
                <w:webHidden/>
              </w:rPr>
              <w:tab/>
            </w:r>
            <w:r w:rsidR="003F286A">
              <w:rPr>
                <w:noProof/>
                <w:webHidden/>
              </w:rPr>
              <w:t>5</w:t>
            </w:r>
          </w:hyperlink>
        </w:p>
        <w:p w:rsidR="00EE6F09" w:rsidRDefault="00D64102">
          <w:pPr>
            <w:pStyle w:val="TOC2"/>
            <w:tabs>
              <w:tab w:val="left" w:pos="660"/>
              <w:tab w:val="right" w:leader="dot" w:pos="9350"/>
            </w:tabs>
            <w:rPr>
              <w:rFonts w:eastAsiaTheme="minorEastAsia"/>
              <w:noProof/>
            </w:rPr>
          </w:pPr>
          <w:hyperlink w:anchor="_Toc17988932" w:history="1">
            <w:r w:rsidR="008F5B82">
              <w:rPr>
                <w:rStyle w:val="Hyperlink"/>
                <w:rFonts w:eastAsia="Times New Roman"/>
                <w:noProof/>
              </w:rPr>
              <w:t>I</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SGC Standard Terms and Conditions</w:t>
            </w:r>
            <w:r w:rsidR="00EE6F09">
              <w:rPr>
                <w:noProof/>
                <w:webHidden/>
              </w:rPr>
              <w:tab/>
            </w:r>
            <w:r w:rsidR="003F286A">
              <w:rPr>
                <w:noProof/>
                <w:webHidden/>
              </w:rPr>
              <w:t>6</w:t>
            </w:r>
          </w:hyperlink>
        </w:p>
        <w:p w:rsidR="00EE6F09" w:rsidRDefault="00D64102">
          <w:pPr>
            <w:pStyle w:val="TOC1"/>
            <w:tabs>
              <w:tab w:val="left" w:pos="660"/>
              <w:tab w:val="right" w:leader="dot" w:pos="9350"/>
            </w:tabs>
            <w:rPr>
              <w:rFonts w:eastAsiaTheme="minorEastAsia"/>
              <w:noProof/>
            </w:rPr>
          </w:pPr>
          <w:hyperlink w:anchor="_Toc17988933" w:history="1">
            <w:r w:rsidR="00EE6F09" w:rsidRPr="00967BB6">
              <w:rPr>
                <w:rStyle w:val="Hyperlink"/>
                <w:rFonts w:eastAsia="Times New Roman"/>
                <w:noProof/>
              </w:rPr>
              <w:t>IV.</w:t>
            </w:r>
            <w:r w:rsidR="00EE6F09">
              <w:rPr>
                <w:rFonts w:eastAsiaTheme="minorEastAsia"/>
                <w:noProof/>
              </w:rPr>
              <w:tab/>
            </w:r>
            <w:r w:rsidR="00EE6F09" w:rsidRPr="00967BB6">
              <w:rPr>
                <w:rStyle w:val="Hyperlink"/>
                <w:rFonts w:eastAsia="Times New Roman"/>
                <w:noProof/>
              </w:rPr>
              <w:t>Provisions Applicable to the Contract</w:t>
            </w:r>
            <w:r w:rsidR="00EE6F09">
              <w:rPr>
                <w:noProof/>
                <w:webHidden/>
              </w:rPr>
              <w:tab/>
            </w:r>
            <w:r w:rsidR="003F286A">
              <w:rPr>
                <w:noProof/>
                <w:webHidden/>
              </w:rPr>
              <w:t>6</w:t>
            </w:r>
          </w:hyperlink>
        </w:p>
        <w:p w:rsidR="00EE6F09" w:rsidRDefault="00D64102">
          <w:pPr>
            <w:pStyle w:val="TOC2"/>
            <w:tabs>
              <w:tab w:val="left" w:pos="660"/>
              <w:tab w:val="right" w:leader="dot" w:pos="9350"/>
            </w:tabs>
            <w:rPr>
              <w:rFonts w:eastAsiaTheme="minorEastAsia"/>
              <w:noProof/>
            </w:rPr>
          </w:pPr>
          <w:hyperlink w:anchor="_Toc17988934"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Agreement Term</w:t>
            </w:r>
            <w:r w:rsidR="00EE6F09">
              <w:rPr>
                <w:noProof/>
                <w:webHidden/>
              </w:rPr>
              <w:tab/>
            </w:r>
            <w:r w:rsidR="003F286A">
              <w:rPr>
                <w:noProof/>
                <w:webHidden/>
              </w:rPr>
              <w:t>6</w:t>
            </w:r>
          </w:hyperlink>
        </w:p>
        <w:p w:rsidR="00EE6F09" w:rsidRDefault="00D64102">
          <w:pPr>
            <w:pStyle w:val="TOC2"/>
            <w:tabs>
              <w:tab w:val="left" w:pos="660"/>
              <w:tab w:val="right" w:leader="dot" w:pos="9350"/>
            </w:tabs>
            <w:rPr>
              <w:rFonts w:eastAsiaTheme="minorEastAsia"/>
              <w:noProof/>
            </w:rPr>
          </w:pPr>
          <w:hyperlink w:anchor="_Toc17988935" w:history="1">
            <w:r w:rsidR="00EE6F09" w:rsidRPr="00967BB6">
              <w:rPr>
                <w:rStyle w:val="Hyperlink"/>
                <w:noProof/>
              </w:rPr>
              <w:t>B.</w:t>
            </w:r>
            <w:r w:rsidR="00EE6F09">
              <w:rPr>
                <w:rFonts w:eastAsiaTheme="minorEastAsia"/>
                <w:noProof/>
              </w:rPr>
              <w:tab/>
            </w:r>
            <w:r w:rsidR="00EE6F09" w:rsidRPr="00967BB6">
              <w:rPr>
                <w:rStyle w:val="Hyperlink"/>
                <w:noProof/>
              </w:rPr>
              <w:t>Requirements Specification</w:t>
            </w:r>
            <w:r w:rsidR="00EE6F09">
              <w:rPr>
                <w:noProof/>
                <w:webHidden/>
              </w:rPr>
              <w:tab/>
            </w:r>
            <w:r w:rsidR="003F286A">
              <w:rPr>
                <w:noProof/>
                <w:webHidden/>
              </w:rPr>
              <w:t>6</w:t>
            </w:r>
          </w:hyperlink>
        </w:p>
        <w:p w:rsidR="00EE6F09" w:rsidRDefault="00D64102">
          <w:pPr>
            <w:pStyle w:val="TOC2"/>
            <w:tabs>
              <w:tab w:val="left" w:pos="660"/>
              <w:tab w:val="right" w:leader="dot" w:pos="9350"/>
            </w:tabs>
            <w:rPr>
              <w:rFonts w:eastAsiaTheme="minorEastAsia"/>
              <w:noProof/>
            </w:rPr>
          </w:pPr>
          <w:hyperlink w:anchor="_Toc17988937" w:history="1">
            <w:r w:rsidR="00E563AE">
              <w:rPr>
                <w:rStyle w:val="Hyperlink"/>
                <w:rFonts w:eastAsia="Times New Roman"/>
                <w:noProof/>
              </w:rPr>
              <w:t>C</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Pricing and Payment Terms</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39" w:history="1">
            <w:r w:rsidR="00E563AE">
              <w:rPr>
                <w:rStyle w:val="Hyperlink"/>
                <w:noProof/>
              </w:rPr>
              <w:t>D</w:t>
            </w:r>
            <w:r w:rsidR="00EE6F09" w:rsidRPr="00967BB6">
              <w:rPr>
                <w:rStyle w:val="Hyperlink"/>
                <w:noProof/>
              </w:rPr>
              <w:t>.</w:t>
            </w:r>
            <w:r w:rsidR="00EE6F09">
              <w:rPr>
                <w:rFonts w:eastAsiaTheme="minorEastAsia"/>
                <w:noProof/>
              </w:rPr>
              <w:tab/>
            </w:r>
            <w:r w:rsidR="00EE6F09" w:rsidRPr="00967BB6">
              <w:rPr>
                <w:rStyle w:val="Hyperlink"/>
                <w:noProof/>
              </w:rPr>
              <w:t>Price Escalation</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43" w:history="1">
            <w:r w:rsidR="00E563AE">
              <w:rPr>
                <w:rStyle w:val="Hyperlink"/>
                <w:rFonts w:eastAsia="Times New Roman"/>
                <w:noProof/>
              </w:rPr>
              <w:t>E</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Tax Exempt Status</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44" w:history="1">
            <w:r w:rsidR="00E563AE">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Payment Terms</w:t>
            </w:r>
            <w:r w:rsidR="00EE6F09">
              <w:rPr>
                <w:noProof/>
                <w:webHidden/>
              </w:rPr>
              <w:tab/>
            </w:r>
            <w:r w:rsidR="00835DCC">
              <w:rPr>
                <w:noProof/>
                <w:webHidden/>
              </w:rPr>
              <w:t>7</w:t>
            </w:r>
          </w:hyperlink>
        </w:p>
        <w:p w:rsidR="00EE6F09" w:rsidRDefault="00D64102">
          <w:pPr>
            <w:pStyle w:val="TOC1"/>
            <w:tabs>
              <w:tab w:val="left" w:pos="440"/>
              <w:tab w:val="right" w:leader="dot" w:pos="9350"/>
            </w:tabs>
            <w:rPr>
              <w:rFonts w:eastAsiaTheme="minorEastAsia"/>
              <w:noProof/>
            </w:rPr>
          </w:pPr>
          <w:hyperlink w:anchor="_Toc17988945" w:history="1">
            <w:r w:rsidR="00EE6F09" w:rsidRPr="00967BB6">
              <w:rPr>
                <w:rStyle w:val="Hyperlink"/>
                <w:rFonts w:eastAsia="Times New Roman"/>
                <w:noProof/>
              </w:rPr>
              <w:t>V.</w:t>
            </w:r>
            <w:r w:rsidR="00EE6F09">
              <w:rPr>
                <w:rFonts w:eastAsiaTheme="minorEastAsia"/>
                <w:noProof/>
              </w:rPr>
              <w:tab/>
            </w:r>
            <w:r w:rsidR="00EE6F09" w:rsidRPr="00967BB6">
              <w:rPr>
                <w:rStyle w:val="Hyperlink"/>
                <w:rFonts w:eastAsia="Times New Roman"/>
                <w:noProof/>
              </w:rPr>
              <w:t>Supplemental Bidder Information</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47" w:history="1">
            <w:r w:rsidR="00864823">
              <w:rPr>
                <w:rStyle w:val="Hyperlink"/>
                <w:rFonts w:eastAsia="Times New Roman"/>
                <w:noProof/>
              </w:rPr>
              <w:t>A</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Conformity of Proposal with SGC Requirements</w:t>
            </w:r>
            <w:r w:rsidR="00EE6F09">
              <w:rPr>
                <w:noProof/>
                <w:webHidden/>
              </w:rPr>
              <w:tab/>
            </w:r>
            <w:r w:rsidR="00835DCC">
              <w:rPr>
                <w:noProof/>
                <w:webHidden/>
              </w:rPr>
              <w:t>7</w:t>
            </w:r>
          </w:hyperlink>
        </w:p>
        <w:p w:rsidR="00EE6F09" w:rsidRDefault="00D64102">
          <w:pPr>
            <w:pStyle w:val="TOC1"/>
            <w:tabs>
              <w:tab w:val="left" w:pos="660"/>
              <w:tab w:val="right" w:leader="dot" w:pos="9350"/>
            </w:tabs>
            <w:rPr>
              <w:rFonts w:eastAsiaTheme="minorEastAsia"/>
              <w:noProof/>
            </w:rPr>
          </w:pPr>
          <w:hyperlink w:anchor="_Toc17988948" w:history="1">
            <w:r w:rsidR="00EE6F09" w:rsidRPr="00967BB6">
              <w:rPr>
                <w:rStyle w:val="Hyperlink"/>
                <w:rFonts w:eastAsia="Times New Roman"/>
                <w:noProof/>
              </w:rPr>
              <w:t>VI.</w:t>
            </w:r>
            <w:r w:rsidR="00EE6F09">
              <w:rPr>
                <w:rFonts w:eastAsiaTheme="minorEastAsia"/>
                <w:noProof/>
              </w:rPr>
              <w:tab/>
            </w:r>
            <w:r w:rsidR="00EE6F09" w:rsidRPr="00967BB6">
              <w:rPr>
                <w:rStyle w:val="Hyperlink"/>
                <w:rFonts w:eastAsia="Times New Roman"/>
                <w:noProof/>
              </w:rPr>
              <w:t>Vendor Requirements</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49"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Proposal</w:t>
            </w:r>
            <w:r w:rsidR="00EE6F09">
              <w:rPr>
                <w:noProof/>
                <w:webHidden/>
              </w:rPr>
              <w:tab/>
            </w:r>
            <w:r w:rsidR="00835DCC">
              <w:rPr>
                <w:noProof/>
                <w:webHidden/>
              </w:rPr>
              <w:t>7</w:t>
            </w:r>
          </w:hyperlink>
        </w:p>
        <w:p w:rsidR="00EE6F09" w:rsidRDefault="00D64102">
          <w:pPr>
            <w:pStyle w:val="TOC2"/>
            <w:tabs>
              <w:tab w:val="left" w:pos="660"/>
              <w:tab w:val="right" w:leader="dot" w:pos="9350"/>
            </w:tabs>
            <w:rPr>
              <w:rFonts w:eastAsiaTheme="minorEastAsia"/>
              <w:noProof/>
            </w:rPr>
          </w:pPr>
          <w:hyperlink w:anchor="_Toc17988953" w:history="1">
            <w:r w:rsidR="00632F9A">
              <w:rPr>
                <w:rStyle w:val="Hyperlink"/>
                <w:rFonts w:eastAsia="Times New Roman"/>
                <w:noProof/>
              </w:rPr>
              <w:t>B</w:t>
            </w:r>
            <w:r w:rsidR="00EE6F09" w:rsidRPr="00967BB6">
              <w:rPr>
                <w:rStyle w:val="Hyperlink"/>
                <w:rFonts w:eastAsia="Times New Roman"/>
                <w:noProof/>
              </w:rPr>
              <w:t>.</w:t>
            </w:r>
            <w:r w:rsidR="00EE6F09">
              <w:rPr>
                <w:rFonts w:eastAsiaTheme="minorEastAsia"/>
                <w:noProof/>
              </w:rPr>
              <w:tab/>
            </w:r>
            <w:r w:rsidR="00632F9A">
              <w:rPr>
                <w:rStyle w:val="Hyperlink"/>
                <w:rFonts w:eastAsia="Times New Roman"/>
                <w:noProof/>
              </w:rPr>
              <w:t>Standard Service</w:t>
            </w:r>
            <w:r w:rsidR="00EE6F09" w:rsidRPr="00967BB6">
              <w:rPr>
                <w:rStyle w:val="Hyperlink"/>
                <w:rFonts w:eastAsia="Times New Roman"/>
                <w:noProof/>
              </w:rPr>
              <w:t xml:space="preserve"> Agreement</w:t>
            </w:r>
            <w:r w:rsidR="00EE6F09">
              <w:rPr>
                <w:noProof/>
                <w:webHidden/>
              </w:rPr>
              <w:tab/>
            </w:r>
            <w:r w:rsidR="00835DCC">
              <w:rPr>
                <w:noProof/>
                <w:webHidden/>
              </w:rPr>
              <w:t>7</w:t>
            </w:r>
          </w:hyperlink>
        </w:p>
        <w:p w:rsidR="00EE6F09" w:rsidRDefault="00D64102">
          <w:pPr>
            <w:pStyle w:val="TOC1"/>
            <w:tabs>
              <w:tab w:val="left" w:pos="660"/>
              <w:tab w:val="right" w:leader="dot" w:pos="9350"/>
            </w:tabs>
            <w:rPr>
              <w:rFonts w:eastAsiaTheme="minorEastAsia"/>
              <w:noProof/>
            </w:rPr>
          </w:pPr>
          <w:hyperlink w:anchor="_Toc17988957" w:history="1">
            <w:r w:rsidR="00EE6F09" w:rsidRPr="00967BB6">
              <w:rPr>
                <w:rStyle w:val="Hyperlink"/>
                <w:rFonts w:eastAsia="Times New Roman"/>
                <w:noProof/>
              </w:rPr>
              <w:t>VII.</w:t>
            </w:r>
            <w:r w:rsidR="00EE6F09">
              <w:rPr>
                <w:rFonts w:eastAsiaTheme="minorEastAsia"/>
                <w:noProof/>
              </w:rPr>
              <w:tab/>
            </w:r>
            <w:r w:rsidR="00EE6F09" w:rsidRPr="00967BB6">
              <w:rPr>
                <w:rStyle w:val="Hyperlink"/>
                <w:rFonts w:eastAsia="Times New Roman"/>
                <w:noProof/>
              </w:rPr>
              <w:t>Bidder Certifications and Representations</w:t>
            </w:r>
            <w:r w:rsidR="00EE6F09">
              <w:rPr>
                <w:noProof/>
                <w:webHidden/>
              </w:rPr>
              <w:tab/>
            </w:r>
            <w:r w:rsidR="00835DCC">
              <w:rPr>
                <w:noProof/>
                <w:webHidden/>
              </w:rPr>
              <w:t>7</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798892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7988921"/>
      <w:r>
        <w:t>RFP Objective</w:t>
      </w:r>
      <w:bookmarkEnd w:id="1"/>
    </w:p>
    <w:p w:rsidR="00E96538" w:rsidRPr="00916138" w:rsidRDefault="00E96538" w:rsidP="00916138">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916138">
        <w:t xml:space="preserve">provider of Grease and Oil Trap Cleaning services for SNRC. </w:t>
      </w:r>
    </w:p>
    <w:p w:rsidR="00E96538" w:rsidRDefault="00E96538" w:rsidP="00916138">
      <w:pPr>
        <w:pStyle w:val="Heading1"/>
        <w:ind w:left="720"/>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17988924"/>
      <w:r>
        <w:t>Schedule of Events</w:t>
      </w:r>
      <w:bookmarkEnd w:id="4"/>
    </w:p>
    <w:p w:rsidR="00D85A51"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447F3B">
        <w:rPr>
          <w:sz w:val="24"/>
          <w:szCs w:val="24"/>
        </w:rPr>
        <w:t>4/13</w:t>
      </w:r>
      <w:r w:rsidR="00916138">
        <w:rPr>
          <w:sz w:val="24"/>
          <w:szCs w:val="24"/>
        </w:rPr>
        <w:t>/2021</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916138">
        <w:rPr>
          <w:sz w:val="24"/>
          <w:szCs w:val="24"/>
        </w:rPr>
        <w:t>4</w:t>
      </w:r>
      <w:r w:rsidR="00004F0A">
        <w:rPr>
          <w:sz w:val="24"/>
          <w:szCs w:val="24"/>
        </w:rPr>
        <w:t>/</w:t>
      </w:r>
      <w:r w:rsidR="00447F3B">
        <w:rPr>
          <w:sz w:val="24"/>
          <w:szCs w:val="24"/>
        </w:rPr>
        <w:t>15</w:t>
      </w:r>
      <w:r w:rsidR="00916138">
        <w:rPr>
          <w:sz w:val="24"/>
          <w:szCs w:val="24"/>
        </w:rPr>
        <w:t>/2021</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447F3B">
        <w:rPr>
          <w:b/>
          <w:sz w:val="24"/>
          <w:szCs w:val="24"/>
        </w:rPr>
        <w:t>4</w:t>
      </w:r>
      <w:r w:rsidR="00AC722D">
        <w:rPr>
          <w:b/>
          <w:sz w:val="24"/>
          <w:szCs w:val="24"/>
        </w:rPr>
        <w:t>/</w:t>
      </w:r>
      <w:r w:rsidR="00D64102">
        <w:rPr>
          <w:b/>
          <w:sz w:val="24"/>
          <w:szCs w:val="24"/>
        </w:rPr>
        <w:t>26</w:t>
      </w:r>
      <w:bookmarkStart w:id="5" w:name="_GoBack"/>
      <w:bookmarkEnd w:id="5"/>
      <w:r w:rsidR="00916138">
        <w:rPr>
          <w:b/>
          <w:sz w:val="24"/>
          <w:szCs w:val="24"/>
        </w:rPr>
        <w:t>/2021</w:t>
      </w:r>
      <w:r w:rsidR="00E96538"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w:t>
      </w:r>
      <w:r w:rsidR="008F21C4">
        <w:t xml:space="preserve"> and request for walkthrough</w:t>
      </w:r>
      <w:r>
        <w:t xml:space="preserve"> to the Coordinating Buyer by the date and time indicated in the above schedule of events.</w:t>
      </w:r>
      <w:r w:rsidR="008F21C4">
        <w:t xml:space="preserve"> If a walkthrough is requested, date and time will be scheduled with bidder.</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lastRenderedPageBreak/>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2226C1" w:rsidRPr="002226C1" w:rsidRDefault="00E96538" w:rsidP="002226C1">
      <w:pPr>
        <w:pStyle w:val="Heading2"/>
      </w:pPr>
      <w:bookmarkStart w:id="16" w:name="_Toc17988935"/>
      <w:r>
        <w:t>Requirements</w:t>
      </w:r>
      <w:r w:rsidR="004D32F5">
        <w:t xml:space="preserve"> Specification</w:t>
      </w:r>
      <w:bookmarkEnd w:id="16"/>
    </w:p>
    <w:p w:rsidR="002E6173" w:rsidRDefault="006173E3" w:rsidP="002E6173">
      <w:pPr>
        <w:pStyle w:val="Heading3"/>
      </w:pPr>
      <w:bookmarkStart w:id="17" w:name="_Toc17728987"/>
      <w:bookmarkStart w:id="18" w:name="_Toc17988936"/>
      <w:r>
        <w:t>General Requirements</w:t>
      </w:r>
      <w:r w:rsidR="002E6173">
        <w:t>:</w:t>
      </w:r>
    </w:p>
    <w:p w:rsidR="00925ECF" w:rsidRPr="00BE01AA" w:rsidRDefault="00925ECF" w:rsidP="00925ECF">
      <w:pPr>
        <w:pStyle w:val="Default"/>
        <w:ind w:left="2160"/>
        <w:rPr>
          <w:rFonts w:ascii="Times New Roman" w:hAnsi="Times New Roman" w:cs="Times New Roman"/>
        </w:rPr>
      </w:pPr>
      <w:r w:rsidRPr="00BE01AA">
        <w:rPr>
          <w:rFonts w:cstheme="minorHAnsi"/>
          <w:sz w:val="22"/>
          <w:szCs w:val="22"/>
        </w:rPr>
        <w:t xml:space="preserve">Bidder must submit a detailed cost proposal for the scope of work, including all direct and indirect costs. </w:t>
      </w:r>
      <w:r>
        <w:rPr>
          <w:rFonts w:asciiTheme="minorHAnsi" w:hAnsiTheme="minorHAnsi" w:cstheme="minorHAnsi"/>
          <w:sz w:val="22"/>
          <w:szCs w:val="22"/>
        </w:rPr>
        <w:t>All work to be performed Mon-Fri.</w:t>
      </w:r>
    </w:p>
    <w:p w:rsidR="00925ECF" w:rsidRDefault="00925ECF" w:rsidP="00925ECF">
      <w:pPr>
        <w:pStyle w:val="Heading3"/>
      </w:pPr>
      <w:r>
        <w:t>SCOPE OF WORK (SOW):</w:t>
      </w:r>
    </w:p>
    <w:p w:rsidR="00925ECF" w:rsidRDefault="00925ECF" w:rsidP="00925ECF">
      <w:pPr>
        <w:ind w:left="2160"/>
        <w:rPr>
          <w:rFonts w:cstheme="minorHAnsi"/>
        </w:rPr>
      </w:pPr>
      <w:r w:rsidRPr="00F40D35">
        <w:rPr>
          <w:rFonts w:cstheme="minorHAnsi"/>
        </w:rPr>
        <w:t xml:space="preserve">Seneca Gaming </w:t>
      </w:r>
      <w:r>
        <w:rPr>
          <w:rFonts w:cstheme="minorHAnsi"/>
        </w:rPr>
        <w:t xml:space="preserve">Corporation </w:t>
      </w:r>
      <w:r w:rsidRPr="00F40D35">
        <w:rPr>
          <w:rFonts w:cstheme="minorHAnsi"/>
        </w:rPr>
        <w:t xml:space="preserve">is seeking an authorized vendor for </w:t>
      </w:r>
      <w:r>
        <w:rPr>
          <w:rFonts w:cstheme="minorHAnsi"/>
        </w:rPr>
        <w:t>complete re-tube of Cleaver-Brooks Boiler #2</w:t>
      </w:r>
      <w:r w:rsidRPr="00F40D35">
        <w:rPr>
          <w:rFonts w:cstheme="minorHAnsi"/>
        </w:rPr>
        <w:t xml:space="preserve"> at the Seneca Niagara Resort &amp; Casin</w:t>
      </w:r>
      <w:r>
        <w:rPr>
          <w:rFonts w:cstheme="minorHAnsi"/>
        </w:rPr>
        <w:t>o.</w:t>
      </w:r>
    </w:p>
    <w:p w:rsidR="00925ECF" w:rsidRPr="00CD2A20" w:rsidRDefault="00925ECF" w:rsidP="00925ECF">
      <w:pPr>
        <w:pStyle w:val="NoSpacing"/>
        <w:ind w:left="2160"/>
      </w:pPr>
      <w:r>
        <w:t>O</w:t>
      </w:r>
      <w:r w:rsidRPr="00F40D35">
        <w:t>perati</w:t>
      </w:r>
      <w:r>
        <w:t>ng department’s requirements:</w:t>
      </w:r>
    </w:p>
    <w:p w:rsidR="00925ECF" w:rsidRPr="00614936"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 xml:space="preserve">Lockout </w:t>
      </w:r>
      <w:r>
        <w:rPr>
          <w:rFonts w:cstheme="minorHAnsi"/>
        </w:rPr>
        <w:t xml:space="preserve">and tag out </w:t>
      </w:r>
      <w:r w:rsidRPr="00614936">
        <w:rPr>
          <w:rFonts w:cstheme="minorHAnsi"/>
        </w:rPr>
        <w:t>all energy sources to C</w:t>
      </w:r>
      <w:r>
        <w:rPr>
          <w:rFonts w:cstheme="minorHAnsi"/>
        </w:rPr>
        <w:t>leaver-Brooks</w:t>
      </w:r>
      <w:r w:rsidRPr="00614936">
        <w:rPr>
          <w:rFonts w:cstheme="minorHAnsi"/>
        </w:rPr>
        <w:t xml:space="preserve"> 500 boiler #2.</w:t>
      </w:r>
    </w:p>
    <w:p w:rsidR="00925ECF" w:rsidRPr="00614936"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Remove necessary piping and pump to facilitate rear door opening completely.</w:t>
      </w:r>
    </w:p>
    <w:p w:rsidR="00925ECF"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 xml:space="preserve">Remove </w:t>
      </w:r>
      <w:r>
        <w:rPr>
          <w:rFonts w:cstheme="minorHAnsi"/>
        </w:rPr>
        <w:t>all 273</w:t>
      </w:r>
      <w:r w:rsidRPr="00614936">
        <w:rPr>
          <w:rFonts w:cstheme="minorHAnsi"/>
        </w:rPr>
        <w:t xml:space="preserve"> tubes in boiler.</w:t>
      </w:r>
    </w:p>
    <w:p w:rsidR="00925ECF" w:rsidRPr="00614936" w:rsidRDefault="00925ECF" w:rsidP="00925ECF">
      <w:pPr>
        <w:pStyle w:val="ListParagraph"/>
        <w:numPr>
          <w:ilvl w:val="0"/>
          <w:numId w:val="15"/>
        </w:numPr>
        <w:spacing w:after="0" w:line="240" w:lineRule="auto"/>
        <w:ind w:left="2520"/>
        <w:contextualSpacing w:val="0"/>
        <w:rPr>
          <w:rFonts w:cstheme="minorHAnsi"/>
        </w:rPr>
      </w:pPr>
      <w:r>
        <w:rPr>
          <w:rFonts w:cstheme="minorHAnsi"/>
        </w:rPr>
        <w:t>Clean debris from inside of boiler.</w:t>
      </w:r>
    </w:p>
    <w:p w:rsidR="00925ECF" w:rsidRPr="00614936"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Clean</w:t>
      </w:r>
      <w:r>
        <w:rPr>
          <w:rFonts w:cstheme="minorHAnsi"/>
        </w:rPr>
        <w:t>, dye check,</w:t>
      </w:r>
      <w:r w:rsidRPr="00614936">
        <w:rPr>
          <w:rFonts w:cstheme="minorHAnsi"/>
        </w:rPr>
        <w:t xml:space="preserve"> and prep tube sheets.</w:t>
      </w:r>
    </w:p>
    <w:p w:rsidR="00925ECF"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Procure and install 273</w:t>
      </w:r>
      <w:r>
        <w:rPr>
          <w:rFonts w:cstheme="minorHAnsi"/>
        </w:rPr>
        <w:t xml:space="preserve"> new</w:t>
      </w:r>
      <w:r w:rsidRPr="00614936">
        <w:rPr>
          <w:rFonts w:cstheme="minorHAnsi"/>
        </w:rPr>
        <w:t xml:space="preserve"> Sa178grA 2.5”</w:t>
      </w:r>
      <w:r>
        <w:rPr>
          <w:rFonts w:cstheme="minorHAnsi"/>
        </w:rPr>
        <w:t xml:space="preserve"> </w:t>
      </w:r>
      <w:r w:rsidRPr="00614936">
        <w:rPr>
          <w:rFonts w:cstheme="minorHAnsi"/>
        </w:rPr>
        <w:t>x</w:t>
      </w:r>
      <w:r>
        <w:rPr>
          <w:rFonts w:cstheme="minorHAnsi"/>
        </w:rPr>
        <w:t xml:space="preserve"> </w:t>
      </w:r>
      <w:r w:rsidRPr="00614936">
        <w:rPr>
          <w:rFonts w:cstheme="minorHAnsi"/>
        </w:rPr>
        <w:t>.105” boiler tubes per manufacturer’s standards and ASME code.</w:t>
      </w:r>
    </w:p>
    <w:p w:rsidR="00925ECF" w:rsidRPr="00614936" w:rsidRDefault="00925ECF" w:rsidP="00925ECF">
      <w:pPr>
        <w:pStyle w:val="ListParagraph"/>
        <w:numPr>
          <w:ilvl w:val="0"/>
          <w:numId w:val="15"/>
        </w:numPr>
        <w:spacing w:after="0" w:line="240" w:lineRule="auto"/>
        <w:ind w:left="2520"/>
        <w:contextualSpacing w:val="0"/>
        <w:rPr>
          <w:rFonts w:cstheme="minorHAnsi"/>
        </w:rPr>
      </w:pPr>
      <w:r>
        <w:rPr>
          <w:rFonts w:cstheme="minorHAnsi"/>
        </w:rPr>
        <w:lastRenderedPageBreak/>
        <w:t>Roll/weld tubes to sheets per manufacturer’s specifications.</w:t>
      </w:r>
    </w:p>
    <w:p w:rsidR="00925ECF" w:rsidRPr="00614936"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Fill and test boiler to required pressure.</w:t>
      </w:r>
    </w:p>
    <w:p w:rsidR="00925ECF" w:rsidRPr="00614936" w:rsidRDefault="00925ECF" w:rsidP="00925ECF">
      <w:pPr>
        <w:pStyle w:val="ListParagraph"/>
        <w:numPr>
          <w:ilvl w:val="0"/>
          <w:numId w:val="15"/>
        </w:numPr>
        <w:spacing w:after="0" w:line="240" w:lineRule="auto"/>
        <w:ind w:left="2520"/>
        <w:contextualSpacing w:val="0"/>
        <w:rPr>
          <w:rFonts w:cstheme="minorHAnsi"/>
        </w:rPr>
      </w:pPr>
      <w:r w:rsidRPr="00614936">
        <w:rPr>
          <w:rFonts w:cstheme="minorHAnsi"/>
        </w:rPr>
        <w:t>Clean work area and demobilize.</w:t>
      </w:r>
    </w:p>
    <w:p w:rsidR="00B00216" w:rsidRDefault="00925ECF" w:rsidP="00B00216">
      <w:pPr>
        <w:pStyle w:val="ListParagraph"/>
        <w:numPr>
          <w:ilvl w:val="0"/>
          <w:numId w:val="15"/>
        </w:numPr>
        <w:spacing w:after="0" w:line="240" w:lineRule="auto"/>
        <w:ind w:left="2520"/>
        <w:contextualSpacing w:val="0"/>
        <w:rPr>
          <w:rFonts w:cstheme="minorHAnsi"/>
        </w:rPr>
      </w:pPr>
      <w:r w:rsidRPr="00614936">
        <w:rPr>
          <w:rFonts w:cstheme="minorHAnsi"/>
        </w:rPr>
        <w:t>Provide required paperwork per ASME code.</w:t>
      </w:r>
    </w:p>
    <w:p w:rsidR="00E35BFD" w:rsidRPr="00E35BFD" w:rsidRDefault="00E35BFD" w:rsidP="00E35BFD">
      <w:pPr>
        <w:pStyle w:val="ListParagraph"/>
        <w:spacing w:after="0" w:line="240" w:lineRule="auto"/>
        <w:ind w:left="2520"/>
        <w:contextualSpacing w:val="0"/>
        <w:rPr>
          <w:rFonts w:cstheme="minorHAnsi"/>
        </w:rPr>
      </w:pPr>
    </w:p>
    <w:p w:rsidR="00E96538" w:rsidRPr="00342236" w:rsidRDefault="00E96538" w:rsidP="00E96538">
      <w:pPr>
        <w:pStyle w:val="Heading2"/>
        <w:rPr>
          <w:rFonts w:eastAsia="Times New Roman"/>
        </w:rPr>
      </w:pPr>
      <w:bookmarkStart w:id="19" w:name="_Toc17988937"/>
      <w:bookmarkEnd w:id="17"/>
      <w:bookmarkEnd w:id="18"/>
      <w:r w:rsidRPr="00342236">
        <w:rPr>
          <w:rFonts w:eastAsia="Times New Roman"/>
        </w:rPr>
        <w:t>Pricing and Payment Terms</w:t>
      </w:r>
      <w:bookmarkEnd w:id="19"/>
    </w:p>
    <w:p w:rsidR="00E96538" w:rsidRDefault="00E96538" w:rsidP="00E96538">
      <w:pPr>
        <w:ind w:left="720" w:firstLine="720"/>
      </w:pPr>
      <w:r w:rsidRPr="00961C9F">
        <w:t xml:space="preserve">Please provide your most competitive pricing and any additional offers. </w:t>
      </w:r>
    </w:p>
    <w:p w:rsidR="00E96538" w:rsidRPr="002E0C14" w:rsidRDefault="00E96538" w:rsidP="00E96538">
      <w:pPr>
        <w:pStyle w:val="Heading2"/>
      </w:pPr>
      <w:bookmarkStart w:id="20" w:name="_Toc17988939"/>
      <w:r>
        <w:t>Price Escalation</w:t>
      </w:r>
      <w:bookmarkEnd w:id="20"/>
    </w:p>
    <w:p w:rsidR="00E96538" w:rsidRPr="00E563AE" w:rsidRDefault="00E96538" w:rsidP="00E96538">
      <w:pPr>
        <w:widowControl w:val="0"/>
        <w:kinsoku w:val="0"/>
        <w:spacing w:after="0" w:line="240" w:lineRule="auto"/>
        <w:ind w:left="1440"/>
        <w:jc w:val="both"/>
        <w:rPr>
          <w:rFonts w:eastAsia="Times New Roman" w:cstheme="minorHAnsi"/>
        </w:rPr>
      </w:pPr>
      <w:r w:rsidRPr="00E563AE">
        <w:rPr>
          <w:rFonts w:eastAsia="Times New Roman" w:cstheme="minorHAnsi"/>
        </w:rPr>
        <w:t>Prices are fixed during the term of the contract, including any renewal term.</w:t>
      </w: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t>Standard Service Agreement</w:t>
      </w:r>
      <w:bookmarkEnd w:id="27"/>
      <w:r w:rsidRPr="00961C9F">
        <w:rPr>
          <w:rFonts w:eastAsia="Times New Roman"/>
        </w:rPr>
        <w:t xml:space="preserve">  </w:t>
      </w:r>
    </w:p>
    <w:p w:rsidR="00E96538" w:rsidRPr="00632F9A" w:rsidRDefault="00E96538" w:rsidP="00632F9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pStyle w:val="Heading1"/>
        <w:rPr>
          <w:rFonts w:eastAsia="Times New Roman"/>
        </w:rPr>
      </w:pPr>
      <w:bookmarkStart w:id="28" w:name="_Toc17988957"/>
      <w:r>
        <w:rPr>
          <w:rFonts w:eastAsia="Times New Roman"/>
        </w:rPr>
        <w:t xml:space="preserve">Bidder </w:t>
      </w:r>
      <w:r w:rsidRPr="0034489C">
        <w:rPr>
          <w:rFonts w:eastAsia="Times New Roman"/>
        </w:rPr>
        <w:t>Cert</w:t>
      </w:r>
      <w:r>
        <w:rPr>
          <w:rFonts w:eastAsia="Times New Roman"/>
        </w:rPr>
        <w:t>ifications and Representations</w:t>
      </w:r>
      <w:bookmarkEnd w:id="28"/>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lastRenderedPageBreak/>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005E66BD">
        <w:rPr>
          <w:rFonts w:eastAsia="Times New Roman" w:cstheme="minorHAnsi"/>
          <w:sz w:val="24"/>
          <w:szCs w:val="24"/>
        </w:rPr>
        <w:t>_</w:t>
      </w:r>
      <w:r w:rsidR="005E66BD">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903351" w:rsidP="00E96538">
      <w:pPr>
        <w:spacing w:before="280" w:after="0" w:line="240" w:lineRule="auto"/>
        <w:ind w:firstLine="720"/>
        <w:rPr>
          <w:rFonts w:ascii="Georgia" w:eastAsia="Times New Roman" w:hAnsi="Georgia" w:cs="Times New Roman"/>
        </w:rPr>
      </w:pPr>
      <w:r>
        <w:rPr>
          <w:rFonts w:eastAsia="Times New Roman" w:cstheme="minorHAnsi"/>
          <w:sz w:val="24"/>
          <w:szCs w:val="24"/>
        </w:rPr>
        <w:t xml:space="preserve">Date: __________________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E96538">
        <w:rPr>
          <w:rFonts w:eastAsia="Times New Roman" w:cstheme="minorHAnsi"/>
          <w:sz w:val="24"/>
          <w:szCs w:val="24"/>
        </w:rPr>
        <w:t xml:space="preserve">NAICS code # </w:t>
      </w:r>
      <w:r w:rsidR="00E96538">
        <w:rPr>
          <w:rFonts w:eastAsia="Times New Roman" w:cstheme="minorHAnsi"/>
          <w:sz w:val="24"/>
          <w:szCs w:val="24"/>
          <w:u w:val="single"/>
        </w:rPr>
        <w:tab/>
      </w:r>
      <w:r w:rsidR="00E96538">
        <w:rPr>
          <w:rFonts w:eastAsia="Times New Roman" w:cstheme="minorHAnsi"/>
          <w:sz w:val="24"/>
          <w:szCs w:val="24"/>
          <w:u w:val="single"/>
        </w:rPr>
        <w:tab/>
      </w:r>
      <w:r w:rsidR="00E96538">
        <w:rPr>
          <w:rFonts w:eastAsia="Times New Roman" w:cstheme="minorHAnsi"/>
          <w:sz w:val="24"/>
          <w:szCs w:val="24"/>
          <w:u w:val="single"/>
        </w:rPr>
        <w:tab/>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4102">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6"/>
  </w:num>
  <w:num w:numId="6">
    <w:abstractNumId w:val="0"/>
  </w:num>
  <w:num w:numId="7">
    <w:abstractNumId w:val="8"/>
  </w:num>
  <w:num w:numId="8">
    <w:abstractNumId w:val="2"/>
  </w:num>
  <w:num w:numId="9">
    <w:abstractNumId w:val="1"/>
  </w:num>
  <w:num w:numId="10">
    <w:abstractNumId w:val="12"/>
  </w:num>
  <w:num w:numId="11">
    <w:abstractNumId w:val="11"/>
  </w:num>
  <w:num w:numId="12">
    <w:abstractNumId w:val="4"/>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F0A"/>
    <w:rsid w:val="000B693F"/>
    <w:rsid w:val="001230FA"/>
    <w:rsid w:val="002226C1"/>
    <w:rsid w:val="0023713C"/>
    <w:rsid w:val="00237E51"/>
    <w:rsid w:val="002B03BD"/>
    <w:rsid w:val="002E6173"/>
    <w:rsid w:val="00353342"/>
    <w:rsid w:val="003F286A"/>
    <w:rsid w:val="00435890"/>
    <w:rsid w:val="00447F3B"/>
    <w:rsid w:val="00456E00"/>
    <w:rsid w:val="00470E46"/>
    <w:rsid w:val="004D32F5"/>
    <w:rsid w:val="004F2163"/>
    <w:rsid w:val="00543A6A"/>
    <w:rsid w:val="005E66BD"/>
    <w:rsid w:val="00601211"/>
    <w:rsid w:val="006173E3"/>
    <w:rsid w:val="00632F9A"/>
    <w:rsid w:val="006A381D"/>
    <w:rsid w:val="00751BEA"/>
    <w:rsid w:val="00766274"/>
    <w:rsid w:val="007F794E"/>
    <w:rsid w:val="00834241"/>
    <w:rsid w:val="00835DCC"/>
    <w:rsid w:val="00864823"/>
    <w:rsid w:val="00864C29"/>
    <w:rsid w:val="00873EC8"/>
    <w:rsid w:val="008F21C4"/>
    <w:rsid w:val="008F5B82"/>
    <w:rsid w:val="00903351"/>
    <w:rsid w:val="00916138"/>
    <w:rsid w:val="00925326"/>
    <w:rsid w:val="00925ECF"/>
    <w:rsid w:val="009A533F"/>
    <w:rsid w:val="009A7CF4"/>
    <w:rsid w:val="009D2F2D"/>
    <w:rsid w:val="00A56112"/>
    <w:rsid w:val="00AA7BE5"/>
    <w:rsid w:val="00AC3E5E"/>
    <w:rsid w:val="00AC722D"/>
    <w:rsid w:val="00B00216"/>
    <w:rsid w:val="00B04250"/>
    <w:rsid w:val="00BB78AA"/>
    <w:rsid w:val="00C60AFF"/>
    <w:rsid w:val="00D64102"/>
    <w:rsid w:val="00D73A54"/>
    <w:rsid w:val="00D85A51"/>
    <w:rsid w:val="00DD26A1"/>
    <w:rsid w:val="00E35BFD"/>
    <w:rsid w:val="00E563AE"/>
    <w:rsid w:val="00E96538"/>
    <w:rsid w:val="00EE6F09"/>
    <w:rsid w:val="00F33E95"/>
    <w:rsid w:val="00F82E1D"/>
    <w:rsid w:val="00F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CD1"/>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11</cp:revision>
  <dcterms:created xsi:type="dcterms:W3CDTF">2021-04-12T20:25:00Z</dcterms:created>
  <dcterms:modified xsi:type="dcterms:W3CDTF">2021-04-19T17:36:00Z</dcterms:modified>
</cp:coreProperties>
</file>