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3D5482" w:rsidRDefault="00E96538" w:rsidP="003D5482">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88200" cy="1200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188200" cy="1200150"/>
                            </a:xfrm>
                            <a:prstGeom prst="rect">
                              <a:avLst/>
                            </a:prstGeom>
                            <a:noFill/>
                            <a:ln w="6350">
                              <a:noFill/>
                            </a:ln>
                            <a:effectLst/>
                          </wps:spPr>
                          <wps:txbx>
                            <w:txbxContent>
                              <w:p w:rsidR="00CD4D92" w:rsidRDefault="003D5482" w:rsidP="003D5482">
                                <w:pPr>
                                  <w:pStyle w:val="NoSpacing"/>
                                  <w:rPr>
                                    <w:color w:val="5B9BD5" w:themeColor="accent1"/>
                                    <w:sz w:val="40"/>
                                    <w:szCs w:val="40"/>
                                  </w:rPr>
                                </w:pPr>
                                <w:r w:rsidRPr="003D5482">
                                  <w:rPr>
                                    <w:color w:val="5B9BD5" w:themeColor="accent1"/>
                                    <w:sz w:val="40"/>
                                    <w:szCs w:val="40"/>
                                  </w:rPr>
                                  <w:t>WinDSX Upgrade</w:t>
                                </w:r>
                                <w:r w:rsidR="006A460D">
                                  <w:rPr>
                                    <w:color w:val="5B9BD5" w:themeColor="accent1"/>
                                    <w:sz w:val="40"/>
                                    <w:szCs w:val="40"/>
                                  </w:rPr>
                                  <w:t xml:space="preserve"> &amp; Consolidation </w:t>
                                </w:r>
                              </w:p>
                              <w:p w:rsidR="004F2163" w:rsidRPr="00E96538" w:rsidRDefault="003D5482" w:rsidP="003D5482">
                                <w:pPr>
                                  <w:pStyle w:val="NoSpacing"/>
                                  <w:rPr>
                                    <w:color w:val="595959" w:themeColor="text1" w:themeTint="A6"/>
                                    <w:sz w:val="40"/>
                                    <w:szCs w:val="40"/>
                                  </w:rPr>
                                </w:pPr>
                                <w:r w:rsidRPr="003D5482">
                                  <w:rPr>
                                    <w:color w:val="5B9BD5" w:themeColor="accent1"/>
                                    <w:sz w:val="40"/>
                                    <w:szCs w:val="40"/>
                                  </w:rPr>
                                  <w:t>RFP #SGC-0005-21CS</w:t>
                                </w:r>
                                <w:r>
                                  <w:rPr>
                                    <w:color w:val="595959" w:themeColor="text1" w:themeTint="A6"/>
                                    <w:sz w:val="40"/>
                                    <w:szCs w:val="40"/>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66pt;height: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" filled="f" stroked="f" strokeweight=".5pt">
                    <v:textbox inset="126pt,0,54pt,0">
                      <w:txbxContent>
                        <w:p w:rsidR="00CD4D92" w:rsidRDefault="003D5482" w:rsidP="003D5482">
                          <w:pPr>
                            <w:pStyle w:val="NoSpacing"/>
                            <w:rPr>
                              <w:color w:val="5B9BD5" w:themeColor="accent1"/>
                              <w:sz w:val="40"/>
                              <w:szCs w:val="40"/>
                            </w:rPr>
                          </w:pPr>
                          <w:r w:rsidRPr="003D5482">
                            <w:rPr>
                              <w:color w:val="5B9BD5" w:themeColor="accent1"/>
                              <w:sz w:val="40"/>
                              <w:szCs w:val="40"/>
                            </w:rPr>
                            <w:t>WinDSX Upgrade</w:t>
                          </w:r>
                          <w:r w:rsidR="006A460D">
                            <w:rPr>
                              <w:color w:val="5B9BD5" w:themeColor="accent1"/>
                              <w:sz w:val="40"/>
                              <w:szCs w:val="40"/>
                            </w:rPr>
                            <w:t xml:space="preserve"> &amp; Consolidation </w:t>
                          </w:r>
                          <w:bookmarkStart w:id="1" w:name="_GoBack"/>
                          <w:bookmarkEnd w:id="1"/>
                        </w:p>
                        <w:p w:rsidR="004F2163" w:rsidRPr="00E96538" w:rsidRDefault="003D5482" w:rsidP="003D5482">
                          <w:pPr>
                            <w:pStyle w:val="NoSpacing"/>
                            <w:rPr>
                              <w:color w:val="595959" w:themeColor="text1" w:themeTint="A6"/>
                              <w:sz w:val="40"/>
                              <w:szCs w:val="40"/>
                            </w:rPr>
                          </w:pPr>
                          <w:r w:rsidRPr="003D5482">
                            <w:rPr>
                              <w:color w:val="5B9BD5" w:themeColor="accent1"/>
                              <w:sz w:val="40"/>
                              <w:szCs w:val="40"/>
                            </w:rPr>
                            <w:t>RFP #SGC-0005-21CS</w:t>
                          </w:r>
                          <w:r>
                            <w:rPr>
                              <w:color w:val="595959" w:themeColor="text1" w:themeTint="A6"/>
                              <w:sz w:val="40"/>
                              <w:szCs w:val="40"/>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3D5482" w:rsidRDefault="003D5482" w:rsidP="00E96538">
                                <w:pPr>
                                  <w:pStyle w:val="NoSpacing"/>
                                  <w:jc w:val="right"/>
                                  <w:rPr>
                                    <w:color w:val="5B9BD5" w:themeColor="accent1"/>
                                    <w:sz w:val="32"/>
                                    <w:szCs w:val="32"/>
                                  </w:rPr>
                                </w:pPr>
                                <w:r w:rsidRPr="003D5482">
                                  <w:rPr>
                                    <w:color w:val="5B9BD5" w:themeColor="accent1"/>
                                    <w:sz w:val="32"/>
                                    <w:szCs w:val="32"/>
                                  </w:rPr>
                                  <w:t xml:space="preserve">November </w:t>
                                </w:r>
                                <w:r w:rsidR="00807041">
                                  <w:rPr>
                                    <w:color w:val="5B9BD5" w:themeColor="accent1"/>
                                    <w:sz w:val="32"/>
                                    <w:szCs w:val="32"/>
                                  </w:rPr>
                                  <w:t>1</w:t>
                                </w:r>
                                <w:r w:rsidR="006A460D">
                                  <w:rPr>
                                    <w:color w:val="5B9BD5" w:themeColor="accent1"/>
                                    <w:sz w:val="32"/>
                                    <w:szCs w:val="32"/>
                                  </w:rPr>
                                  <w:t>7</w:t>
                                </w:r>
                                <w:r w:rsidRPr="003D5482">
                                  <w:rPr>
                                    <w:color w:val="5B9BD5" w:themeColor="accent1"/>
                                    <w:sz w:val="32"/>
                                    <w:szCs w:val="32"/>
                                  </w:rPr>
                                  <w:t>, 2020</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3D5482" w:rsidRDefault="003D5482" w:rsidP="00E96538">
                          <w:pPr>
                            <w:pStyle w:val="NoSpacing"/>
                            <w:jc w:val="right"/>
                            <w:rPr>
                              <w:color w:val="5B9BD5" w:themeColor="accent1"/>
                              <w:sz w:val="32"/>
                              <w:szCs w:val="32"/>
                            </w:rPr>
                          </w:pPr>
                          <w:r w:rsidRPr="003D5482">
                            <w:rPr>
                              <w:color w:val="5B9BD5" w:themeColor="accent1"/>
                              <w:sz w:val="32"/>
                              <w:szCs w:val="32"/>
                            </w:rPr>
                            <w:t xml:space="preserve">November </w:t>
                          </w:r>
                          <w:r w:rsidR="00807041">
                            <w:rPr>
                              <w:color w:val="5B9BD5" w:themeColor="accent1"/>
                              <w:sz w:val="32"/>
                              <w:szCs w:val="32"/>
                            </w:rPr>
                            <w:t>1</w:t>
                          </w:r>
                          <w:r w:rsidR="006A460D">
                            <w:rPr>
                              <w:color w:val="5B9BD5" w:themeColor="accent1"/>
                              <w:sz w:val="32"/>
                              <w:szCs w:val="32"/>
                            </w:rPr>
                            <w:t>7</w:t>
                          </w:r>
                          <w:r w:rsidRPr="003D5482">
                            <w:rPr>
                              <w:color w:val="5B9BD5" w:themeColor="accent1"/>
                              <w:sz w:val="32"/>
                              <w:szCs w:val="32"/>
                            </w:rPr>
                            <w:t>, 2020</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870B93"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sidRPr="003D5482">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D96EC8"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sidRPr="003D5482">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p>
      </w:sdtContent>
    </w:sdt>
    <w:bookmarkStart w:id="1" w:name="_Toc17988920" w:displacedByCustomXml="prev"/>
    <w:p w:rsidR="003D5482" w:rsidRDefault="003D5482" w:rsidP="003D5482">
      <w:pPr>
        <w:ind w:left="6030"/>
      </w:pPr>
    </w:p>
    <w:p w:rsidR="003D5482" w:rsidRDefault="003D5482" w:rsidP="003D5482">
      <w:pPr>
        <w:ind w:left="6030"/>
      </w:pPr>
    </w:p>
    <w:p w:rsidR="003D5482" w:rsidRDefault="003D5482" w:rsidP="003D5482">
      <w:pPr>
        <w:ind w:left="6030"/>
      </w:pPr>
    </w:p>
    <w:p w:rsidR="003D5482" w:rsidRDefault="003D5482" w:rsidP="003D5482">
      <w:pPr>
        <w:ind w:left="6030"/>
      </w:pPr>
    </w:p>
    <w:p w:rsidR="003D5482" w:rsidRDefault="003D5482" w:rsidP="003D5482">
      <w:pPr>
        <w:ind w:left="6030"/>
      </w:pPr>
    </w:p>
    <w:p w:rsidR="003D5482" w:rsidRDefault="003D5482" w:rsidP="003D5482">
      <w:pPr>
        <w:ind w:left="6030"/>
      </w:pPr>
    </w:p>
    <w:p w:rsidR="003D5482" w:rsidRDefault="003D5482" w:rsidP="003D5482">
      <w:pPr>
        <w:ind w:left="6030"/>
      </w:pPr>
    </w:p>
    <w:p w:rsidR="00E96538" w:rsidRPr="003D5482" w:rsidRDefault="003D5482" w:rsidP="003D5482">
      <w:pPr>
        <w:rPr>
          <w:sz w:val="28"/>
          <w:szCs w:val="28"/>
        </w:rPr>
      </w:pPr>
      <w:r>
        <w:rPr>
          <w:sz w:val="28"/>
          <w:szCs w:val="28"/>
        </w:rPr>
        <w:t xml:space="preserve">           </w:t>
      </w:r>
      <w:r w:rsidR="00E96538" w:rsidRPr="003D5482">
        <w:rPr>
          <w:sz w:val="28"/>
          <w:szCs w:val="28"/>
        </w:rPr>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7988921"/>
      <w:r>
        <w:t>RFP Objective</w:t>
      </w:r>
      <w:bookmarkEnd w:id="2"/>
    </w:p>
    <w:p w:rsidR="00297E65" w:rsidRPr="00A80C8F" w:rsidRDefault="00E96538" w:rsidP="00A80C8F">
      <w:pPr>
        <w:pStyle w:val="ListParagraph"/>
        <w:spacing w:before="120" w:after="120" w:line="240" w:lineRule="auto"/>
        <w:ind w:left="1080"/>
        <w:rPr>
          <w:rFonts w:eastAsia="Times New Roman" w:cstheme="minorHAnsi"/>
        </w:rPr>
      </w:pPr>
      <w:r w:rsidRPr="00807041">
        <w:rPr>
          <w:rFonts w:eastAsia="Times New Roman" w:cstheme="minorHAnsi"/>
        </w:rPr>
        <w:t>Seneca Gaming Corporation (hereinafter referred to as SGC</w:t>
      </w:r>
      <w:r w:rsidRPr="00807041">
        <w:rPr>
          <w:rFonts w:eastAsia="Times New Roman" w:cstheme="minorHAnsi"/>
          <w:szCs w:val="24"/>
        </w:rPr>
        <w:t xml:space="preserve">) </w:t>
      </w:r>
      <w:r w:rsidRPr="00807041">
        <w:rPr>
          <w:rFonts w:eastAsia="Times New Roman" w:cstheme="minorHAnsi"/>
        </w:rPr>
        <w:t xml:space="preserve">is seeking a qualified </w:t>
      </w:r>
      <w:r w:rsidR="00E4491D" w:rsidRPr="00807041">
        <w:rPr>
          <w:rFonts w:eastAsia="Times New Roman" w:cstheme="minorHAnsi"/>
        </w:rPr>
        <w:t xml:space="preserve">vendor who </w:t>
      </w:r>
      <w:r w:rsidR="00BB1DC6" w:rsidRPr="00807041">
        <w:rPr>
          <w:rFonts w:eastAsia="Times New Roman" w:cstheme="minorHAnsi"/>
        </w:rPr>
        <w:t>will</w:t>
      </w:r>
      <w:r w:rsidR="009C11FB">
        <w:rPr>
          <w:rFonts w:eastAsia="Times New Roman" w:cstheme="minorHAnsi"/>
        </w:rPr>
        <w:t xml:space="preserve"> c</w:t>
      </w:r>
      <w:r w:rsidR="00E1213F" w:rsidRPr="009C11FB">
        <w:rPr>
          <w:rFonts w:eastAsia="Times New Roman" w:cstheme="minorHAnsi"/>
        </w:rPr>
        <w:t xml:space="preserve">ontract </w:t>
      </w:r>
      <w:r w:rsidR="00CD4D92" w:rsidRPr="009C11FB">
        <w:rPr>
          <w:rFonts w:eastAsia="Times New Roman" w:cstheme="minorHAnsi"/>
        </w:rPr>
        <w:t xml:space="preserve">DSX Inc to </w:t>
      </w:r>
      <w:r w:rsidR="00E4491D" w:rsidRPr="009C11FB">
        <w:rPr>
          <w:rFonts w:eastAsia="Times New Roman" w:cstheme="minorHAnsi"/>
        </w:rPr>
        <w:t>complete migration and consolidation of SGC DSX databases. This includes 4 legacy DSX Databases to be consolidated with 1 existing SQL</w:t>
      </w:r>
      <w:r w:rsidR="00E1213F" w:rsidRPr="009C11FB">
        <w:rPr>
          <w:rFonts w:eastAsia="Times New Roman" w:cstheme="minorHAnsi"/>
        </w:rPr>
        <w:t xml:space="preserve">. </w:t>
      </w:r>
      <w:r w:rsidR="00E4491D" w:rsidRPr="009C11FB">
        <w:rPr>
          <w:rFonts w:eastAsia="Times New Roman" w:cstheme="minorHAnsi"/>
        </w:rPr>
        <w:t>DSX</w:t>
      </w:r>
      <w:r w:rsidR="00E1213F" w:rsidRPr="009C11FB">
        <w:rPr>
          <w:rFonts w:eastAsia="Times New Roman" w:cstheme="minorHAnsi"/>
        </w:rPr>
        <w:t xml:space="preserve"> will complete all programming. </w:t>
      </w:r>
      <w:r w:rsidR="00BB1DC6" w:rsidRPr="009C11FB">
        <w:rPr>
          <w:rFonts w:eastAsia="Times New Roman" w:cstheme="minorHAnsi"/>
        </w:rPr>
        <w:t xml:space="preserve">Provide upgrade to </w:t>
      </w:r>
      <w:r w:rsidR="00807041" w:rsidRPr="009C11FB">
        <w:rPr>
          <w:rFonts w:eastAsia="Times New Roman" w:cstheme="minorHAnsi"/>
        </w:rPr>
        <w:t xml:space="preserve">current </w:t>
      </w:r>
      <w:r w:rsidR="00BB1DC6" w:rsidRPr="009C11FB">
        <w:rPr>
          <w:rFonts w:eastAsia="Times New Roman" w:cstheme="minorHAnsi"/>
        </w:rPr>
        <w:t>SGC WinDSX SQL</w:t>
      </w:r>
      <w:r w:rsidR="00807041" w:rsidRPr="009C11FB">
        <w:rPr>
          <w:rFonts w:eastAsia="Times New Roman" w:cstheme="minorHAnsi"/>
        </w:rPr>
        <w:t>.</w:t>
      </w:r>
      <w:r w:rsidR="009C11FB">
        <w:rPr>
          <w:rFonts w:eastAsia="Times New Roman" w:cstheme="minorHAnsi"/>
        </w:rPr>
        <w:t xml:space="preserve"> W</w:t>
      </w:r>
      <w:r w:rsidR="00807041" w:rsidRPr="009C11FB">
        <w:rPr>
          <w:rFonts w:eastAsia="Times New Roman" w:cstheme="minorHAnsi"/>
        </w:rPr>
        <w:t xml:space="preserve">ork to be completed by 3/1/21. </w:t>
      </w:r>
      <w:r w:rsidR="00B31230">
        <w:rPr>
          <w:rFonts w:eastAsia="Times New Roman" w:cstheme="minorHAnsi"/>
        </w:rPr>
        <w:t xml:space="preserve">Mandatory on-site walk-throughs at each property. </w:t>
      </w:r>
      <w:r w:rsidR="00FE4361">
        <w:rPr>
          <w:rFonts w:eastAsia="Times New Roman" w:cstheme="minorHAnsi"/>
        </w:rPr>
        <w:t>See S</w:t>
      </w:r>
      <w:r w:rsidR="00807041">
        <w:rPr>
          <w:rFonts w:eastAsia="Times New Roman" w:cstheme="minorHAnsi"/>
        </w:rPr>
        <w:t xml:space="preserve">ection III </w:t>
      </w:r>
      <w:r w:rsidR="00FD66A1">
        <w:rPr>
          <w:rFonts w:eastAsia="Times New Roman" w:cstheme="minorHAnsi"/>
        </w:rPr>
        <w:t>A</w:t>
      </w:r>
      <w:r w:rsidR="00807041">
        <w:rPr>
          <w:rFonts w:eastAsia="Times New Roman" w:cstheme="minorHAnsi"/>
        </w:rPr>
        <w:t xml:space="preserve"> for </w:t>
      </w:r>
      <w:r w:rsidR="00B31230">
        <w:rPr>
          <w:rFonts w:eastAsia="Times New Roman" w:cstheme="minorHAnsi"/>
        </w:rPr>
        <w:t xml:space="preserve">complete </w:t>
      </w:r>
      <w:r w:rsidR="00807041">
        <w:rPr>
          <w:rFonts w:eastAsia="Times New Roman" w:cstheme="minorHAnsi"/>
        </w:rPr>
        <w:t xml:space="preserve">SOW. </w:t>
      </w:r>
      <w:r w:rsidR="00BB1DC6" w:rsidRPr="00807041">
        <w:rPr>
          <w:rFonts w:eastAsia="Times New Roman" w:cstheme="minorHAnsi"/>
        </w:rPr>
        <w:t xml:space="preserve">  </w:t>
      </w:r>
    </w:p>
    <w:p w:rsidR="00E96538" w:rsidRDefault="00E96538" w:rsidP="00E96538">
      <w:pPr>
        <w:pStyle w:val="Heading1"/>
      </w:pPr>
      <w:bookmarkStart w:id="3" w:name="_Toc17988922"/>
      <w:r>
        <w:t>RFP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E4491D">
        <w:rPr>
          <w:sz w:val="24"/>
          <w:szCs w:val="24"/>
        </w:rPr>
        <w:t xml:space="preserve">Charles Saxe </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E4491D">
        <w:rPr>
          <w:sz w:val="24"/>
          <w:szCs w:val="24"/>
        </w:rPr>
        <w:t xml:space="preserve">716-501-2161 </w:t>
      </w:r>
    </w:p>
    <w:p w:rsidR="00297E65" w:rsidRPr="00456200" w:rsidRDefault="00E96538" w:rsidP="00EE15BF">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E4491D" w:rsidRPr="00AB287D">
          <w:rPr>
            <w:rStyle w:val="Hyperlink"/>
            <w:sz w:val="24"/>
            <w:szCs w:val="24"/>
          </w:rPr>
          <w:t>csaxe@senecacasinos.com</w:t>
        </w:r>
      </w:hyperlink>
      <w:r w:rsidR="00E4491D">
        <w:rPr>
          <w:sz w:val="24"/>
          <w:szCs w:val="24"/>
        </w:rPr>
        <w:t xml:space="preserve"> </w:t>
      </w:r>
    </w:p>
    <w:p w:rsidR="00E96538" w:rsidRDefault="00E96538" w:rsidP="00E96538">
      <w:pPr>
        <w:pStyle w:val="Heading2"/>
      </w:pPr>
      <w:bookmarkStart w:id="5" w:name="_Toc17988924"/>
      <w:r>
        <w:t>Schedule of Events</w:t>
      </w:r>
      <w:bookmarkEnd w:id="5"/>
    </w:p>
    <w:p w:rsidR="0056563C" w:rsidRDefault="00E96538" w:rsidP="00FE4361">
      <w:pPr>
        <w:pStyle w:val="ListParagraph"/>
        <w:numPr>
          <w:ilvl w:val="0"/>
          <w:numId w:val="13"/>
        </w:numPr>
        <w:spacing w:before="120" w:after="120"/>
        <w:rPr>
          <w:sz w:val="24"/>
          <w:szCs w:val="24"/>
        </w:rPr>
      </w:pPr>
      <w:r w:rsidRPr="00FE4361">
        <w:rPr>
          <w:sz w:val="24"/>
          <w:szCs w:val="24"/>
        </w:rPr>
        <w:t xml:space="preserve">RFP issue date: </w:t>
      </w:r>
      <w:r w:rsidR="00807041" w:rsidRPr="00FE4361">
        <w:rPr>
          <w:sz w:val="24"/>
          <w:szCs w:val="24"/>
        </w:rPr>
        <w:t xml:space="preserve">     </w:t>
      </w:r>
      <w:r w:rsidR="00875F11">
        <w:rPr>
          <w:sz w:val="24"/>
          <w:szCs w:val="24"/>
        </w:rPr>
        <w:t>11/1</w:t>
      </w:r>
      <w:r w:rsidR="006A460D">
        <w:rPr>
          <w:sz w:val="24"/>
          <w:szCs w:val="24"/>
        </w:rPr>
        <w:t>7</w:t>
      </w:r>
      <w:r w:rsidR="00875F11">
        <w:rPr>
          <w:sz w:val="24"/>
          <w:szCs w:val="24"/>
        </w:rPr>
        <w:t>/20</w:t>
      </w:r>
    </w:p>
    <w:p w:rsidR="00461688" w:rsidRPr="00A80C8F" w:rsidRDefault="00A80C8F" w:rsidP="00A80C8F">
      <w:pPr>
        <w:pStyle w:val="ListParagraph"/>
        <w:numPr>
          <w:ilvl w:val="0"/>
          <w:numId w:val="13"/>
        </w:numPr>
        <w:spacing w:before="120" w:after="120"/>
        <w:rPr>
          <w:sz w:val="24"/>
          <w:szCs w:val="24"/>
        </w:rPr>
      </w:pPr>
      <w:r>
        <w:rPr>
          <w:sz w:val="24"/>
          <w:szCs w:val="24"/>
        </w:rPr>
        <w:t>Vendor intent to bid:  11/20/20</w:t>
      </w:r>
    </w:p>
    <w:p w:rsidR="0056563C" w:rsidRPr="00A80C8F" w:rsidRDefault="00807041" w:rsidP="00A80C8F">
      <w:pPr>
        <w:pStyle w:val="NoSpacing"/>
        <w:numPr>
          <w:ilvl w:val="0"/>
          <w:numId w:val="13"/>
        </w:numPr>
      </w:pPr>
      <w:r w:rsidRPr="0056563C">
        <w:rPr>
          <w:b/>
        </w:rPr>
        <w:t>Man</w:t>
      </w:r>
      <w:r w:rsidR="0056563C" w:rsidRPr="0056563C">
        <w:rPr>
          <w:b/>
        </w:rPr>
        <w:t>da</w:t>
      </w:r>
      <w:r w:rsidRPr="0056563C">
        <w:rPr>
          <w:b/>
        </w:rPr>
        <w:t xml:space="preserve">tory </w:t>
      </w:r>
      <w:r w:rsidR="0056563C" w:rsidRPr="0056563C">
        <w:rPr>
          <w:b/>
        </w:rPr>
        <w:t xml:space="preserve">vendor </w:t>
      </w:r>
      <w:r w:rsidR="00875F11">
        <w:rPr>
          <w:b/>
        </w:rPr>
        <w:t xml:space="preserve">on-site </w:t>
      </w:r>
      <w:r w:rsidRPr="0056563C">
        <w:rPr>
          <w:b/>
        </w:rPr>
        <w:t>walk-thr</w:t>
      </w:r>
      <w:r w:rsidR="0056563C" w:rsidRPr="0056563C">
        <w:rPr>
          <w:b/>
        </w:rPr>
        <w:t>oughs</w:t>
      </w:r>
      <w:r w:rsidR="0056563C" w:rsidRPr="006A460D">
        <w:rPr>
          <w:b/>
        </w:rPr>
        <w:t xml:space="preserve"> a</w:t>
      </w:r>
      <w:r w:rsidRPr="006A460D">
        <w:rPr>
          <w:b/>
        </w:rPr>
        <w:t xml:space="preserve">t all SGC </w:t>
      </w:r>
      <w:r w:rsidR="0056563C" w:rsidRPr="006A460D">
        <w:rPr>
          <w:b/>
        </w:rPr>
        <w:t xml:space="preserve">properties. </w:t>
      </w:r>
      <w:r w:rsidR="006A460D">
        <w:rPr>
          <w:b/>
        </w:rPr>
        <w:t>On-</w:t>
      </w:r>
      <w:r w:rsidR="00B31230">
        <w:rPr>
          <w:b/>
        </w:rPr>
        <w:t>site w</w:t>
      </w:r>
      <w:r w:rsidR="006A460D">
        <w:rPr>
          <w:b/>
        </w:rPr>
        <w:t>alk-th</w:t>
      </w:r>
      <w:r w:rsidR="006A460D" w:rsidRPr="006A460D">
        <w:rPr>
          <w:b/>
        </w:rPr>
        <w:t>roughs must be completed by 12/3/20.</w:t>
      </w:r>
      <w:r w:rsidR="006A460D">
        <w:t xml:space="preserve"> </w:t>
      </w:r>
      <w:r w:rsidR="0056563C">
        <w:t xml:space="preserve">Please contact John Masse to schedule at 716-501-4121, or, email </w:t>
      </w:r>
      <w:hyperlink r:id="rId12" w:history="1">
        <w:r w:rsidR="0056563C" w:rsidRPr="00615DF8">
          <w:rPr>
            <w:rStyle w:val="Hyperlink"/>
          </w:rPr>
          <w:t>jmasse@senecacasinos.com</w:t>
        </w:r>
      </w:hyperlink>
      <w:r w:rsidR="0056563C">
        <w:t>.</w:t>
      </w:r>
      <w:r w:rsidR="0056563C" w:rsidRPr="00A80C8F">
        <w:rPr>
          <w:b/>
        </w:rPr>
        <w:t xml:space="preserve"> </w:t>
      </w:r>
    </w:p>
    <w:p w:rsidR="00E4491D" w:rsidRPr="00FE4361" w:rsidRDefault="00E96538" w:rsidP="00FE4361">
      <w:pPr>
        <w:pStyle w:val="ListParagraph"/>
        <w:numPr>
          <w:ilvl w:val="0"/>
          <w:numId w:val="13"/>
        </w:numPr>
        <w:spacing w:before="120" w:after="240"/>
        <w:rPr>
          <w:b/>
          <w:sz w:val="24"/>
          <w:szCs w:val="24"/>
        </w:rPr>
      </w:pPr>
      <w:r w:rsidRPr="00FE4361">
        <w:rPr>
          <w:b/>
          <w:sz w:val="24"/>
          <w:szCs w:val="24"/>
          <w:u w:val="single"/>
        </w:rPr>
        <w:t>Bid Submission Deadline</w:t>
      </w:r>
      <w:r w:rsidRPr="00FE4361">
        <w:rPr>
          <w:b/>
          <w:sz w:val="24"/>
          <w:szCs w:val="24"/>
        </w:rPr>
        <w:t xml:space="preserve">: </w:t>
      </w:r>
      <w:r w:rsidR="0056563C" w:rsidRPr="00FE4361">
        <w:rPr>
          <w:b/>
          <w:sz w:val="24"/>
          <w:szCs w:val="24"/>
        </w:rPr>
        <w:t xml:space="preserve">   Friday, December 11, 2020 by 5pm EST</w:t>
      </w:r>
      <w:r w:rsidRPr="00FE4361">
        <w:rPr>
          <w:b/>
          <w:sz w:val="24"/>
          <w:szCs w:val="24"/>
        </w:rPr>
        <w:tab/>
      </w:r>
      <w:bookmarkStart w:id="6" w:name="_Toc17988925"/>
    </w:p>
    <w:bookmarkEnd w:id="6"/>
    <w:p w:rsidR="00E96538" w:rsidRDefault="00E96538" w:rsidP="00E4491D">
      <w:pPr>
        <w:spacing w:before="120" w:after="240"/>
        <w:rPr>
          <w:rFonts w:eastAsia="Times New Roman"/>
        </w:rPr>
      </w:pPr>
    </w:p>
    <w:p w:rsidR="00E96538" w:rsidRDefault="00E96538" w:rsidP="00E96538">
      <w:pPr>
        <w:ind w:left="1440"/>
        <w:jc w:val="both"/>
      </w:pPr>
      <w:r>
        <w:lastRenderedPageBreak/>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BB1DC6">
        <w:rPr>
          <w:rFonts w:eastAsia="Times New Roman" w:cstheme="minorHAnsi"/>
          <w:b/>
        </w:rPr>
        <w:t>Bidder proposals must conform to the following proposal format</w:t>
      </w:r>
      <w:r w:rsidRPr="00BB1DC6">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lastRenderedPageBreak/>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lastRenderedPageBreak/>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B04250" w:rsidRDefault="00834241" w:rsidP="00834241">
      <w:pPr>
        <w:ind w:left="1440"/>
      </w:pPr>
      <w:r>
        <w:t xml:space="preserve">For additional details, see section 22 of SGC’s Standard Terms &amp; Conditions at </w:t>
      </w:r>
      <w:hyperlink r:id="rId13" w:history="1">
        <w:r w:rsidR="00B04250" w:rsidRPr="005E170B">
          <w:rPr>
            <w:rStyle w:val="Hyperlink"/>
          </w:rPr>
          <w:t>https://senecacasinos.com/business-opportunities/</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lastRenderedPageBreak/>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4" w:history="1">
        <w:r w:rsidR="00B04250" w:rsidRPr="005E170B">
          <w:rPr>
            <w:rStyle w:val="Hyperlink"/>
          </w:rPr>
          <w:t>https://senecacasinos.com/business-opportunities/</w:t>
        </w:r>
      </w:hyperlink>
      <w:r w:rsidR="00B04250">
        <w:t>.</w:t>
      </w:r>
    </w:p>
    <w:p w:rsidR="00D96EC8" w:rsidRPr="00EA5550" w:rsidRDefault="00E96538" w:rsidP="00A80C8F">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F02722" w:rsidRPr="00F02722" w:rsidRDefault="00F02722" w:rsidP="00F02722"/>
    <w:p w:rsidR="00E96538" w:rsidRDefault="004F513E" w:rsidP="00E96538">
      <w:pPr>
        <w:pStyle w:val="Heading2"/>
        <w:rPr>
          <w:rFonts w:eastAsia="Times New Roman"/>
        </w:rPr>
      </w:pPr>
      <w:r>
        <w:rPr>
          <w:rFonts w:eastAsia="Times New Roman"/>
        </w:rPr>
        <w:t xml:space="preserve">Requirement specifications (SOW)  </w:t>
      </w:r>
    </w:p>
    <w:p w:rsidR="004F513E" w:rsidRPr="006A460D" w:rsidRDefault="004F513E" w:rsidP="006A460D">
      <w:pPr>
        <w:pStyle w:val="Heading2"/>
        <w:numPr>
          <w:ilvl w:val="0"/>
          <w:numId w:val="0"/>
        </w:numPr>
        <w:ind w:left="720"/>
      </w:pPr>
      <w:r>
        <w:t xml:space="preserve">       </w:t>
      </w:r>
      <w:r w:rsidR="006A460D">
        <w:t xml:space="preserve">            </w:t>
      </w:r>
      <w:r w:rsidRPr="004F513E">
        <w:rPr>
          <w:color w:val="00B0F0"/>
          <w:sz w:val="28"/>
          <w:szCs w:val="28"/>
        </w:rPr>
        <w:t>Scope of Work</w:t>
      </w:r>
      <w:r w:rsidR="006A460D">
        <w:rPr>
          <w:color w:val="00B0F0"/>
          <w:sz w:val="28"/>
          <w:szCs w:val="28"/>
        </w:rPr>
        <w:t>:</w:t>
      </w:r>
    </w:p>
    <w:p w:rsidR="00E1213F" w:rsidRDefault="009B3FCA" w:rsidP="00E1213F">
      <w:pPr>
        <w:pStyle w:val="ListParagraph"/>
        <w:numPr>
          <w:ilvl w:val="0"/>
          <w:numId w:val="9"/>
        </w:numPr>
      </w:pPr>
      <w:r w:rsidRPr="003D3044">
        <w:t>V</w:t>
      </w:r>
      <w:r>
        <w:t>endor will contract DSX Inc to complete migration and consolidation of SGC’s 4 legacy DSX Databases to be consolidated with 1 existing SQL. DSX Inc will complete all programming. DSX contact is Leonard A. Carrion (</w:t>
      </w:r>
      <w:hyperlink r:id="rId15" w:history="1">
        <w:r w:rsidRPr="00AA268C">
          <w:rPr>
            <w:rStyle w:val="Hyperlink"/>
          </w:rPr>
          <w:t>lcarrion@dsxinc.com</w:t>
        </w:r>
      </w:hyperlink>
      <w:r>
        <w:t xml:space="preserve">). </w:t>
      </w:r>
    </w:p>
    <w:p w:rsidR="003D3044" w:rsidRDefault="003D3044" w:rsidP="00E1213F">
      <w:pPr>
        <w:pStyle w:val="ListParagraph"/>
        <w:numPr>
          <w:ilvl w:val="0"/>
          <w:numId w:val="9"/>
        </w:numPr>
      </w:pPr>
      <w:r>
        <w:t>Upgrade the current SGC WinDSX SQL software to version 6.0.28.</w:t>
      </w:r>
    </w:p>
    <w:p w:rsidR="004F513E" w:rsidRDefault="003D3044" w:rsidP="003D3044">
      <w:pPr>
        <w:pStyle w:val="ListParagraph"/>
        <w:numPr>
          <w:ilvl w:val="0"/>
          <w:numId w:val="9"/>
        </w:numPr>
      </w:pPr>
      <w:r w:rsidRPr="003D3044">
        <w:t>Vendor support and programming effort to support cutover of panels, changing of dip switches and any necessary panel changes at each pr</w:t>
      </w:r>
      <w:r>
        <w:t>operty to support the project.</w:t>
      </w:r>
    </w:p>
    <w:p w:rsidR="00F02722" w:rsidRDefault="00F02722" w:rsidP="003D3044">
      <w:pPr>
        <w:pStyle w:val="ListParagraph"/>
        <w:numPr>
          <w:ilvl w:val="0"/>
          <w:numId w:val="9"/>
        </w:numPr>
      </w:pPr>
      <w:r>
        <w:t>Vendor Commercial Crew installation of pair of 18/4 Wires from Closet 153 to 2</w:t>
      </w:r>
      <w:r w:rsidRPr="00F02722">
        <w:rPr>
          <w:vertAlign w:val="superscript"/>
        </w:rPr>
        <w:t>nd</w:t>
      </w:r>
      <w:r>
        <w:t xml:space="preserve"> Floor Surveillance Tech Office.</w:t>
      </w:r>
    </w:p>
    <w:p w:rsidR="00F02722" w:rsidRDefault="00F02722" w:rsidP="003D3044">
      <w:pPr>
        <w:pStyle w:val="ListParagraph"/>
        <w:numPr>
          <w:ilvl w:val="0"/>
          <w:numId w:val="9"/>
        </w:numPr>
      </w:pPr>
      <w:r>
        <w:t>At Seneca Office Building: Relocate DSX panels from 4</w:t>
      </w:r>
      <w:r w:rsidRPr="00F02722">
        <w:rPr>
          <w:vertAlign w:val="superscript"/>
        </w:rPr>
        <w:t>th</w:t>
      </w:r>
      <w:r>
        <w:t xml:space="preserve"> Floor Closet (SGA Offices) to 6</w:t>
      </w:r>
      <w:r w:rsidRPr="00F02722">
        <w:rPr>
          <w:vertAlign w:val="superscript"/>
        </w:rPr>
        <w:t>th</w:t>
      </w:r>
      <w:r>
        <w:t xml:space="preserve"> Floor Closet (adjacent to SGC Executive Offices). </w:t>
      </w:r>
    </w:p>
    <w:p w:rsidR="00F02722" w:rsidRDefault="00F02722" w:rsidP="00F02722"/>
    <w:p w:rsidR="00BB1DC6" w:rsidRDefault="00BB1DC6" w:rsidP="00BB1DC6">
      <w:pPr>
        <w:pStyle w:val="ListParagraph"/>
        <w:numPr>
          <w:ilvl w:val="0"/>
          <w:numId w:val="9"/>
        </w:numPr>
      </w:pPr>
      <w:r>
        <w:t xml:space="preserve">Work will be for all SGC locations located at: </w:t>
      </w:r>
    </w:p>
    <w:p w:rsidR="00BB1DC6" w:rsidRDefault="00BB1DC6" w:rsidP="00BB1DC6">
      <w:pPr>
        <w:pStyle w:val="ListParagraph"/>
        <w:ind w:left="1850"/>
      </w:pPr>
      <w:r>
        <w:t>- Seneca Office Building, Niagara Falls, NY</w:t>
      </w:r>
    </w:p>
    <w:p w:rsidR="00BB1DC6" w:rsidRDefault="00BB1DC6" w:rsidP="00BB1DC6">
      <w:pPr>
        <w:pStyle w:val="ListParagraph"/>
        <w:ind w:left="1850"/>
      </w:pPr>
      <w:r>
        <w:t xml:space="preserve">- Seneca Niagara Casino &amp; Hotel, Niagara Falls, NY </w:t>
      </w:r>
    </w:p>
    <w:p w:rsidR="00BB1DC6" w:rsidRDefault="00BB1DC6" w:rsidP="00BB1DC6">
      <w:pPr>
        <w:pStyle w:val="ListParagraph"/>
        <w:ind w:left="1850"/>
      </w:pPr>
      <w:r>
        <w:t xml:space="preserve">- Seneca Allegany Casino &amp; Hotel, Salamanca, NY </w:t>
      </w:r>
    </w:p>
    <w:p w:rsidR="003D3044" w:rsidRDefault="00BB1DC6" w:rsidP="003D3044">
      <w:pPr>
        <w:pStyle w:val="ListParagraph"/>
        <w:ind w:left="1850"/>
      </w:pPr>
      <w:r>
        <w:t>- Seneca Buffalo Cree</w:t>
      </w:r>
      <w:r w:rsidR="003D3044">
        <w:t>k Casino, Buffalo, NY</w:t>
      </w:r>
    </w:p>
    <w:p w:rsidR="003D3044" w:rsidRDefault="003D3044" w:rsidP="00BA581C">
      <w:pPr>
        <w:pStyle w:val="ListParagraph"/>
        <w:ind w:left="1530"/>
      </w:pPr>
      <w:r>
        <w:t xml:space="preserve">5)   Scope of Work to be completed by 3/1/21.  </w:t>
      </w:r>
      <w:r w:rsidR="00B31230">
        <w:t xml:space="preserve">RFP award approximately 12/21/20. </w:t>
      </w:r>
    </w:p>
    <w:p w:rsidR="00E96538" w:rsidRPr="00E1213F" w:rsidRDefault="004F513E" w:rsidP="009C11FB">
      <w:r>
        <w:t xml:space="preserve">                     </w:t>
      </w:r>
    </w:p>
    <w:p w:rsidR="004D32F5" w:rsidRDefault="004D32F5" w:rsidP="004D32F5">
      <w:pPr>
        <w:pStyle w:val="Heading2"/>
      </w:pPr>
      <w:bookmarkStart w:id="16" w:name="_Toc17728987"/>
      <w:bookmarkStart w:id="17" w:name="_Toc17988936"/>
      <w:r>
        <w:t>Price/Fee Structure and Terms</w:t>
      </w:r>
      <w:bookmarkEnd w:id="16"/>
      <w:bookmarkEnd w:id="17"/>
    </w:p>
    <w:p w:rsidR="00470E46" w:rsidRPr="00E1213F" w:rsidRDefault="00E1213F" w:rsidP="00E1213F">
      <w:r>
        <w:t xml:space="preserve">                             Please provide your proposal and cost by service breakdown. </w:t>
      </w:r>
    </w:p>
    <w:p w:rsidR="00E96538" w:rsidRPr="00342236" w:rsidRDefault="00E96538" w:rsidP="00E96538">
      <w:pPr>
        <w:pStyle w:val="Heading2"/>
        <w:rPr>
          <w:rFonts w:eastAsia="Times New Roman"/>
        </w:rPr>
      </w:pPr>
      <w:bookmarkStart w:id="18" w:name="_Toc17988937"/>
      <w:r w:rsidRPr="00342236">
        <w:rPr>
          <w:rFonts w:eastAsia="Times New Roman"/>
        </w:rPr>
        <w:t>Pricing and Payment Terms</w:t>
      </w:r>
      <w:bookmarkEnd w:id="18"/>
    </w:p>
    <w:p w:rsidR="00E96538" w:rsidRDefault="00E96538" w:rsidP="00E1213F">
      <w:pPr>
        <w:ind w:left="720" w:firstLine="720"/>
      </w:pPr>
      <w:r w:rsidRPr="00961C9F">
        <w:t xml:space="preserve">Please provide your most competitive pricing and any additional offers. </w:t>
      </w:r>
    </w:p>
    <w:p w:rsidR="00E96538" w:rsidRPr="002E0C14" w:rsidRDefault="00E96538" w:rsidP="00E96538">
      <w:pPr>
        <w:pStyle w:val="Heading2"/>
      </w:pPr>
      <w:bookmarkStart w:id="19" w:name="_Toc17988939"/>
      <w:r>
        <w:t>Price Escalation</w:t>
      </w:r>
      <w:bookmarkEnd w:id="19"/>
    </w:p>
    <w:p w:rsidR="002E4CA5" w:rsidRDefault="00E96538" w:rsidP="002E4CA5">
      <w:pPr>
        <w:widowControl w:val="0"/>
        <w:kinsoku w:val="0"/>
        <w:spacing w:after="0" w:line="240" w:lineRule="auto"/>
        <w:ind w:left="1440"/>
        <w:jc w:val="both"/>
        <w:rPr>
          <w:rFonts w:eastAsia="Times New Roman" w:cstheme="minorHAnsi"/>
        </w:rPr>
      </w:pPr>
      <w:r w:rsidRPr="00E1213F">
        <w:rPr>
          <w:rFonts w:eastAsia="Times New Roman" w:cstheme="minorHAnsi"/>
        </w:rPr>
        <w:t>Prices are fixed</w:t>
      </w:r>
      <w:r w:rsidR="006A460D">
        <w:rPr>
          <w:rFonts w:eastAsia="Times New Roman" w:cstheme="minorHAnsi"/>
        </w:rPr>
        <w:t xml:space="preserve"> </w:t>
      </w:r>
      <w:r w:rsidR="00EE15BF">
        <w:rPr>
          <w:rFonts w:eastAsia="Times New Roman" w:cstheme="minorHAnsi"/>
        </w:rPr>
        <w:t xml:space="preserve">thru </w:t>
      </w:r>
      <w:r w:rsidR="006A460D">
        <w:rPr>
          <w:rFonts w:eastAsia="Times New Roman" w:cstheme="minorHAnsi"/>
        </w:rPr>
        <w:t xml:space="preserve">completion of work. </w:t>
      </w:r>
    </w:p>
    <w:p w:rsidR="006A460D" w:rsidRPr="00E1213F" w:rsidRDefault="006A460D" w:rsidP="002E4CA5">
      <w:pPr>
        <w:widowControl w:val="0"/>
        <w:kinsoku w:val="0"/>
        <w:spacing w:after="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20" w:name="_Toc17988943"/>
      <w:r w:rsidRPr="00961C9F">
        <w:rPr>
          <w:rFonts w:eastAsia="Times New Roman"/>
        </w:rPr>
        <w:t>Tax Exempt Status</w:t>
      </w:r>
      <w:bookmarkEnd w:id="20"/>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1" w:name="_Toc17988944"/>
      <w:r w:rsidRPr="00961C9F">
        <w:rPr>
          <w:rFonts w:eastAsia="Times New Roman"/>
        </w:rPr>
        <w:t>Payment Terms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2" w:name="_Toc17988945"/>
      <w:r>
        <w:rPr>
          <w:rFonts w:eastAsia="Times New Roman"/>
        </w:rPr>
        <w:t>Supplemental Bidder Information</w:t>
      </w:r>
      <w:bookmarkEnd w:id="22"/>
    </w:p>
    <w:p w:rsidR="00E96538" w:rsidRPr="00961C9F" w:rsidRDefault="00E96538" w:rsidP="00E96538">
      <w:pPr>
        <w:pStyle w:val="Heading2"/>
        <w:rPr>
          <w:rFonts w:eastAsia="Times New Roman"/>
        </w:rPr>
      </w:pPr>
      <w:bookmarkStart w:id="23" w:name="_Toc17988947"/>
      <w:r w:rsidRPr="00961C9F">
        <w:rPr>
          <w:rFonts w:eastAsia="Times New Roman"/>
        </w:rPr>
        <w:t>Conformity of Proposal with SGC Requirements</w:t>
      </w:r>
      <w:bookmarkEnd w:id="23"/>
    </w:p>
    <w:p w:rsidR="00E96538" w:rsidRPr="00A80C8F" w:rsidRDefault="00E96538" w:rsidP="00E96538">
      <w:pPr>
        <w:autoSpaceDE w:val="0"/>
        <w:autoSpaceDN w:val="0"/>
        <w:adjustRightInd w:val="0"/>
        <w:spacing w:after="120" w:line="240" w:lineRule="auto"/>
        <w:ind w:left="1440"/>
        <w:jc w:val="both"/>
        <w:rPr>
          <w:rFonts w:eastAsia="Times New Roman" w:cstheme="minorHAnsi"/>
          <w:b/>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r w:rsidR="002F0A78">
        <w:rPr>
          <w:rFonts w:eastAsia="Times New Roman" w:cstheme="minorHAnsi"/>
        </w:rPr>
        <w:t xml:space="preserve"> </w:t>
      </w:r>
      <w:r w:rsidR="002F0A78" w:rsidRPr="00A80C8F">
        <w:rPr>
          <w:rFonts w:eastAsia="Times New Roman" w:cstheme="minorHAnsi"/>
          <w:b/>
        </w:rPr>
        <w:t xml:space="preserve">Must provide </w:t>
      </w:r>
      <w:r w:rsidR="00A80C8F">
        <w:rPr>
          <w:rFonts w:eastAsia="Times New Roman" w:cstheme="minorHAnsi"/>
          <w:b/>
        </w:rPr>
        <w:t xml:space="preserve">a list of </w:t>
      </w:r>
      <w:r w:rsidR="002F0A78" w:rsidRPr="00A80C8F">
        <w:rPr>
          <w:rFonts w:eastAsia="Times New Roman" w:cstheme="minorHAnsi"/>
          <w:b/>
        </w:rPr>
        <w:t>any sub-contractors who may be used.</w:t>
      </w:r>
    </w:p>
    <w:p w:rsidR="00E96538" w:rsidRPr="00961C9F" w:rsidRDefault="00E96538" w:rsidP="00E96538">
      <w:pPr>
        <w:pStyle w:val="Heading1"/>
        <w:rPr>
          <w:rFonts w:eastAsia="Times New Roman"/>
        </w:rPr>
      </w:pPr>
      <w:bookmarkStart w:id="24" w:name="_Toc17988948"/>
      <w:r w:rsidRPr="00961C9F">
        <w:rPr>
          <w:rFonts w:eastAsia="Times New Roman"/>
        </w:rPr>
        <w:t>Vendor Requirements</w:t>
      </w:r>
      <w:bookmarkEnd w:id="24"/>
    </w:p>
    <w:p w:rsidR="00E96538" w:rsidRPr="00961C9F" w:rsidRDefault="00E96538" w:rsidP="00E96538">
      <w:pPr>
        <w:pStyle w:val="Heading2"/>
        <w:rPr>
          <w:rFonts w:eastAsia="Times New Roman"/>
        </w:rPr>
      </w:pPr>
      <w:bookmarkStart w:id="25" w:name="_Toc17988949"/>
      <w:r w:rsidRPr="00961C9F">
        <w:rPr>
          <w:rFonts w:eastAsia="Times New Roman"/>
        </w:rPr>
        <w:t>Proposal</w:t>
      </w:r>
      <w:bookmarkEnd w:id="25"/>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6" w:name="_Toc17988951"/>
      <w:r w:rsidRPr="00961C9F">
        <w:rPr>
          <w:rFonts w:eastAsia="Times New Roman"/>
        </w:rPr>
        <w:lastRenderedPageBreak/>
        <w:t>Standard Service Agreement</w:t>
      </w:r>
      <w:bookmarkEnd w:id="26"/>
      <w:r w:rsidRPr="00961C9F">
        <w:rPr>
          <w:rFonts w:eastAsia="Times New Roman"/>
        </w:rPr>
        <w:t xml:space="preserve">  </w:t>
      </w:r>
    </w:p>
    <w:p w:rsidR="00E96538" w:rsidRPr="002F0A78" w:rsidRDefault="00E96538" w:rsidP="00E96538">
      <w:pPr>
        <w:autoSpaceDE w:val="0"/>
        <w:autoSpaceDN w:val="0"/>
        <w:adjustRightInd w:val="0"/>
        <w:spacing w:after="120" w:line="240" w:lineRule="auto"/>
        <w:ind w:left="1440"/>
        <w:jc w:val="both"/>
        <w:rPr>
          <w:rFonts w:eastAsia="Times New Roman" w:cstheme="minorHAnsi"/>
        </w:rPr>
      </w:pPr>
      <w:r w:rsidRPr="002F0A78">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Pr="00961C9F" w:rsidRDefault="00E96538" w:rsidP="00E96538">
      <w:pPr>
        <w:pStyle w:val="Heading2"/>
        <w:rPr>
          <w:rFonts w:eastAsia="Times New Roman"/>
        </w:rPr>
      </w:pPr>
      <w:bookmarkStart w:id="27" w:name="_Toc17988955"/>
      <w:bookmarkStart w:id="28" w:name="OLE_LINK3"/>
      <w:bookmarkStart w:id="29" w:name="OLE_LINK4"/>
      <w:r w:rsidRPr="00961C9F">
        <w:rPr>
          <w:rFonts w:eastAsia="Times New Roman"/>
        </w:rPr>
        <w:t>Data Security</w:t>
      </w:r>
      <w:bookmarkEnd w:id="27"/>
      <w:r w:rsidRPr="00961C9F">
        <w:rPr>
          <w:rFonts w:eastAsia="Times New Roman"/>
        </w:rPr>
        <w:t xml:space="preserve"> </w:t>
      </w:r>
    </w:p>
    <w:p w:rsidR="00E96538" w:rsidRPr="002F0A78" w:rsidRDefault="00E96538" w:rsidP="00E96538">
      <w:pPr>
        <w:spacing w:after="120" w:line="240" w:lineRule="auto"/>
        <w:ind w:left="1440"/>
        <w:jc w:val="both"/>
        <w:rPr>
          <w:rFonts w:eastAsia="Times New Roman" w:cstheme="minorHAnsi"/>
        </w:rPr>
      </w:pPr>
      <w:r w:rsidRPr="002F0A78">
        <w:rPr>
          <w:rFonts w:eastAsia="Times New Roman" w:cstheme="minorHAnsi"/>
        </w:rPr>
        <w:t>Upon request, Successful Bidder/Vendor will supply a current Statement on Standards for A</w:t>
      </w:r>
      <w:r w:rsidR="007F794E" w:rsidRPr="002F0A78">
        <w:rPr>
          <w:rFonts w:eastAsia="Times New Roman" w:cstheme="minorHAnsi"/>
        </w:rPr>
        <w:t xml:space="preserve">ttestation Engagements [SSAE] </w:t>
      </w:r>
      <w:r w:rsidRPr="002F0A78">
        <w:rPr>
          <w:rFonts w:eastAsia="Times New Roman" w:cstheme="minorHAnsi"/>
        </w:rPr>
        <w:t>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E96538" w:rsidRPr="00961C9F" w:rsidRDefault="00E96538" w:rsidP="00E96538">
      <w:pPr>
        <w:pStyle w:val="Heading2"/>
        <w:rPr>
          <w:rFonts w:eastAsia="Times New Roman"/>
        </w:rPr>
      </w:pPr>
      <w:bookmarkStart w:id="30" w:name="_Toc17988956"/>
      <w:r w:rsidRPr="00961C9F">
        <w:rPr>
          <w:rFonts w:eastAsia="Times New Roman"/>
        </w:rPr>
        <w:t>Directives and Minimum Internal Control Standards</w:t>
      </w:r>
      <w:bookmarkEnd w:id="30"/>
      <w:r w:rsidRPr="00961C9F">
        <w:rPr>
          <w:rFonts w:eastAsia="Times New Roman"/>
        </w:rPr>
        <w:t xml:space="preserve"> </w:t>
      </w:r>
    </w:p>
    <w:p w:rsidR="002E4CA5" w:rsidRDefault="00E96538" w:rsidP="00E96538">
      <w:pPr>
        <w:ind w:left="1440"/>
        <w:jc w:val="both"/>
        <w:rPr>
          <w:rFonts w:eastAsia="Times New Roman" w:cstheme="minorHAnsi"/>
        </w:rPr>
      </w:pPr>
      <w:r w:rsidRPr="002E4CA5">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28"/>
      <w:bookmarkEnd w:id="29"/>
    </w:p>
    <w:p w:rsidR="00E96538" w:rsidRDefault="00E96538" w:rsidP="002E4CA5">
      <w:pPr>
        <w:jc w:val="both"/>
        <w:rPr>
          <w:rFonts w:asciiTheme="majorHAnsi" w:eastAsia="Times New Roman" w:hAnsiTheme="majorHAnsi" w:cstheme="majorBidi"/>
          <w:color w:val="2E74B5" w:themeColor="accent1" w:themeShade="BF"/>
          <w:sz w:val="32"/>
          <w:szCs w:val="32"/>
        </w:rPr>
      </w:pPr>
      <w:r>
        <w:rPr>
          <w:rFonts w:eastAsia="Times New Roman"/>
        </w:rPr>
        <w:br w:type="page"/>
      </w:r>
    </w:p>
    <w:p w:rsidR="00E96538" w:rsidRDefault="00E96538" w:rsidP="00E96538">
      <w:pPr>
        <w:pStyle w:val="Heading1"/>
        <w:rPr>
          <w:rFonts w:eastAsia="Times New Roman"/>
        </w:rPr>
      </w:pPr>
      <w:bookmarkStart w:id="31" w:name="_Toc17988957"/>
      <w:r>
        <w:rPr>
          <w:rFonts w:eastAsia="Times New Roman"/>
        </w:rPr>
        <w:lastRenderedPageBreak/>
        <w:t xml:space="preserve">Bidder </w:t>
      </w:r>
      <w:r w:rsidRPr="0034489C">
        <w:rPr>
          <w:rFonts w:eastAsia="Times New Roman"/>
        </w:rPr>
        <w:t>Cert</w:t>
      </w:r>
      <w:r>
        <w:rPr>
          <w:rFonts w:eastAsia="Times New Roman"/>
        </w:rPr>
        <w:t>ifications and Representations</w:t>
      </w:r>
      <w:bookmarkEnd w:id="31"/>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B04250" w:rsidRPr="00B04250" w:rsidRDefault="00E96538" w:rsidP="00B04250">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6" w:tgtFrame="_blank" w:history="1">
        <w:r w:rsidR="00B04250" w:rsidRPr="00B04250">
          <w:rPr>
            <w:rStyle w:val="Hyperlink"/>
          </w:rPr>
          <w:t>https://senecacasinos.com/business-opportunities/</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r w:rsidRPr="00961C9F">
        <w:rPr>
          <w:rFonts w:eastAsia="Times New Roman" w:cstheme="minorHAnsi"/>
          <w:sz w:val="24"/>
          <w:szCs w:val="24"/>
        </w:rPr>
        <w:t xml:space="preserve">_  </w:t>
      </w:r>
      <w:r w:rsidRPr="00961C9F">
        <w:rPr>
          <w:rFonts w:eastAsia="Times New Roman" w:cstheme="minorHAnsi"/>
          <w:sz w:val="24"/>
          <w:szCs w:val="24"/>
        </w:rPr>
        <w:tab/>
      </w:r>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9D2F2D" w:rsidRPr="002E4CA5" w:rsidRDefault="00E96538" w:rsidP="002E4CA5">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 xml:space="preserve"> NAICS code # </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0D7C57">
        <w:rPr>
          <w:rFonts w:eastAsia="Times New Roman" w:cstheme="minorHAnsi"/>
          <w:sz w:val="24"/>
          <w:szCs w:val="24"/>
        </w:rPr>
        <w:tab/>
      </w:r>
      <w:r>
        <w:rPr>
          <w:rFonts w:ascii="Georgia" w:eastAsia="Times New Roman" w:hAnsi="Georgia" w:cs="Times New Roman"/>
        </w:rPr>
        <w:tab/>
      </w:r>
    </w:p>
    <w:sectPr w:rsidR="009D2F2D" w:rsidRPr="002E4CA5" w:rsidSect="004F216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32" w:rsidRDefault="00472332">
      <w:pPr>
        <w:spacing w:after="0" w:line="240" w:lineRule="auto"/>
      </w:pPr>
      <w:r>
        <w:separator/>
      </w:r>
    </w:p>
  </w:endnote>
  <w:endnote w:type="continuationSeparator" w:id="0">
    <w:p w:rsidR="00472332" w:rsidRDefault="0047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78" w:rsidRDefault="002F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0B93">
          <w:rPr>
            <w:noProof/>
          </w:rPr>
          <w:t>2</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78" w:rsidRDefault="002F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32" w:rsidRDefault="00472332">
      <w:pPr>
        <w:spacing w:after="0" w:line="240" w:lineRule="auto"/>
      </w:pPr>
      <w:r>
        <w:separator/>
      </w:r>
    </w:p>
  </w:footnote>
  <w:footnote w:type="continuationSeparator" w:id="0">
    <w:p w:rsidR="00472332" w:rsidRDefault="00472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78" w:rsidRDefault="002F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78" w:rsidRDefault="002F0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78" w:rsidRDefault="002F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270F9F"/>
    <w:multiLevelType w:val="hybridMultilevel"/>
    <w:tmpl w:val="63DA373C"/>
    <w:lvl w:ilvl="0" w:tplc="5A92F388">
      <w:numFmt w:val="bullet"/>
      <w:lvlText w:val=""/>
      <w:lvlJc w:val="left"/>
      <w:pPr>
        <w:ind w:left="2210" w:hanging="360"/>
      </w:pPr>
      <w:rPr>
        <w:rFonts w:ascii="Symbol" w:eastAsiaTheme="minorHAnsi" w:hAnsi="Symbol" w:cstheme="minorBidi"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4"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5BD43FC"/>
    <w:multiLevelType w:val="hybridMultilevel"/>
    <w:tmpl w:val="EA685756"/>
    <w:lvl w:ilvl="0" w:tplc="3C24A91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D416A86"/>
    <w:multiLevelType w:val="hybridMultilevel"/>
    <w:tmpl w:val="C6065906"/>
    <w:lvl w:ilvl="0" w:tplc="51129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57006A9D"/>
    <w:multiLevelType w:val="hybridMultilevel"/>
    <w:tmpl w:val="13C6DDFA"/>
    <w:lvl w:ilvl="0" w:tplc="CED66EE0">
      <w:start w:val="1"/>
      <w:numFmt w:val="decimal"/>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2" w15:restartNumberingAfterBreak="0">
    <w:nsid w:val="699A1762"/>
    <w:multiLevelType w:val="hybridMultilevel"/>
    <w:tmpl w:val="B742FA66"/>
    <w:lvl w:ilvl="0" w:tplc="262603B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0"/>
  </w:num>
  <w:num w:numId="2">
    <w:abstractNumId w:val="4"/>
  </w:num>
  <w:num w:numId="3">
    <w:abstractNumId w:val="2"/>
  </w:num>
  <w:num w:numId="4">
    <w:abstractNumId w:val="7"/>
  </w:num>
  <w:num w:numId="5">
    <w:abstractNumId w:val="5"/>
  </w:num>
  <w:num w:numId="6">
    <w:abstractNumId w:val="0"/>
  </w:num>
  <w:num w:numId="7">
    <w:abstractNumId w:val="8"/>
  </w:num>
  <w:num w:numId="8">
    <w:abstractNumId w:val="1"/>
  </w:num>
  <w:num w:numId="9">
    <w:abstractNumId w:val="11"/>
  </w:num>
  <w:num w:numId="10">
    <w:abstractNumId w:val="3"/>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237E51"/>
    <w:rsid w:val="00297E65"/>
    <w:rsid w:val="002E4CA5"/>
    <w:rsid w:val="002F0A78"/>
    <w:rsid w:val="00301A3C"/>
    <w:rsid w:val="003A382E"/>
    <w:rsid w:val="003C3A7D"/>
    <w:rsid w:val="003D3044"/>
    <w:rsid w:val="003D5482"/>
    <w:rsid w:val="003F380B"/>
    <w:rsid w:val="00456E00"/>
    <w:rsid w:val="00461688"/>
    <w:rsid w:val="00470E46"/>
    <w:rsid w:val="00472332"/>
    <w:rsid w:val="004B1645"/>
    <w:rsid w:val="004D32F5"/>
    <w:rsid w:val="004F2163"/>
    <w:rsid w:val="004F513E"/>
    <w:rsid w:val="0056563C"/>
    <w:rsid w:val="006A381D"/>
    <w:rsid w:val="006A460D"/>
    <w:rsid w:val="007178FF"/>
    <w:rsid w:val="007A10F4"/>
    <w:rsid w:val="007F794E"/>
    <w:rsid w:val="00807041"/>
    <w:rsid w:val="00834241"/>
    <w:rsid w:val="00870B93"/>
    <w:rsid w:val="00875F11"/>
    <w:rsid w:val="008F1A72"/>
    <w:rsid w:val="00901DE1"/>
    <w:rsid w:val="00994DC0"/>
    <w:rsid w:val="009B3FCA"/>
    <w:rsid w:val="009C11FB"/>
    <w:rsid w:val="009D2F2D"/>
    <w:rsid w:val="00A16200"/>
    <w:rsid w:val="00A80C8F"/>
    <w:rsid w:val="00B04250"/>
    <w:rsid w:val="00B31230"/>
    <w:rsid w:val="00BA581C"/>
    <w:rsid w:val="00BB1DC6"/>
    <w:rsid w:val="00C60AFF"/>
    <w:rsid w:val="00CD4D92"/>
    <w:rsid w:val="00D96EC8"/>
    <w:rsid w:val="00E1213F"/>
    <w:rsid w:val="00E4491D"/>
    <w:rsid w:val="00E713C2"/>
    <w:rsid w:val="00E96538"/>
    <w:rsid w:val="00EE15BF"/>
    <w:rsid w:val="00EE6F09"/>
    <w:rsid w:val="00F02722"/>
    <w:rsid w:val="00FA03E9"/>
    <w:rsid w:val="00FD66A1"/>
    <w:rsid w:val="00FE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Header">
    <w:name w:val="header"/>
    <w:basedOn w:val="Normal"/>
    <w:link w:val="HeaderChar"/>
    <w:uiPriority w:val="99"/>
    <w:unhideWhenUsed/>
    <w:rsid w:val="002F0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A78"/>
  </w:style>
  <w:style w:type="paragraph" w:styleId="BalloonText">
    <w:name w:val="Balloon Text"/>
    <w:basedOn w:val="Normal"/>
    <w:link w:val="BalloonTextChar"/>
    <w:uiPriority w:val="99"/>
    <w:semiHidden/>
    <w:unhideWhenUsed/>
    <w:rsid w:val="003F3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business-opportuniti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jmasse@senecacasino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enecacasinos.com/business-opportunit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axe@senecacasino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carrion@dsxinc.com" TargetMode="External"/><Relationship Id="rId23" Type="http://schemas.openxmlformats.org/officeDocument/2006/relationships/fontTable" Target="fontTable.xml"/><Relationship Id="rId10" Type="http://schemas.openxmlformats.org/officeDocument/2006/relationships/hyperlink" Target="http://www.Senecacasino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business-opportunit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Charles Saxe</cp:lastModifiedBy>
  <cp:revision>2</cp:revision>
  <cp:lastPrinted>2020-11-16T19:34:00Z</cp:lastPrinted>
  <dcterms:created xsi:type="dcterms:W3CDTF">2020-11-17T16:32:00Z</dcterms:created>
  <dcterms:modified xsi:type="dcterms:W3CDTF">2020-11-17T16:32:00Z</dcterms:modified>
</cp:coreProperties>
</file>