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681A1F8" w14:textId="76F8EE49" w:rsidR="00D72C9A" w:rsidRPr="00A66CA8" w:rsidRDefault="008A7545" w:rsidP="00491CC7">
                                <w:pPr>
                                  <w:pStyle w:val="NoSpacing"/>
                                  <w:ind w:left="-2250"/>
                                  <w:jc w:val="right"/>
                                  <w:rPr>
                                    <w:color w:val="00B0F0"/>
                                    <w:sz w:val="48"/>
                                    <w:szCs w:val="48"/>
                                    <w:highlight w:val="blue"/>
                                  </w:rPr>
                                </w:pPr>
                                <w:r>
                                  <w:rPr>
                                    <w:color w:val="595959" w:themeColor="text1" w:themeTint="A6"/>
                                    <w:sz w:val="44"/>
                                    <w:szCs w:val="44"/>
                                  </w:rPr>
                                  <w:t xml:space="preserve">F&amp;B </w:t>
                                </w:r>
                                <w:r w:rsidR="007F2BB7">
                                  <w:rPr>
                                    <w:color w:val="595959" w:themeColor="text1" w:themeTint="A6"/>
                                    <w:sz w:val="44"/>
                                    <w:szCs w:val="44"/>
                                  </w:rPr>
                                  <w:t>Kitchen</w:t>
                                </w:r>
                                <w:r w:rsidR="00491CC7">
                                  <w:rPr>
                                    <w:color w:val="595959" w:themeColor="text1" w:themeTint="A6"/>
                                    <w:sz w:val="44"/>
                                    <w:szCs w:val="44"/>
                                  </w:rPr>
                                  <w:t xml:space="preserve"> Equipment</w:t>
                                </w:r>
                              </w:p>
                              <w:p w14:paraId="762F89C5" w14:textId="0E8158A5" w:rsidR="00D72C9A" w:rsidRPr="00BD282F" w:rsidRDefault="00E94FAD" w:rsidP="00E96538">
                                <w:pPr>
                                  <w:pStyle w:val="NoSpacing"/>
                                  <w:jc w:val="right"/>
                                  <w:rPr>
                                    <w:sz w:val="44"/>
                                    <w:szCs w:val="44"/>
                                  </w:rPr>
                                </w:pPr>
                                <w:r w:rsidRPr="00BD282F">
                                  <w:rPr>
                                    <w:sz w:val="48"/>
                                    <w:szCs w:val="48"/>
                                  </w:rPr>
                                  <w:t>RFP #S</w:t>
                                </w:r>
                                <w:r w:rsidR="007F2BB7">
                                  <w:rPr>
                                    <w:sz w:val="48"/>
                                    <w:szCs w:val="48"/>
                                  </w:rPr>
                                  <w:t>GC</w:t>
                                </w:r>
                                <w:r w:rsidRPr="00BD282F">
                                  <w:rPr>
                                    <w:sz w:val="48"/>
                                    <w:szCs w:val="48"/>
                                  </w:rPr>
                                  <w:t>-</w:t>
                                </w:r>
                                <w:r w:rsidR="00DE5ED2">
                                  <w:rPr>
                                    <w:sz w:val="48"/>
                                    <w:szCs w:val="48"/>
                                  </w:rPr>
                                  <w:t>00</w:t>
                                </w:r>
                                <w:r w:rsidR="007F2BB7">
                                  <w:rPr>
                                    <w:sz w:val="48"/>
                                    <w:szCs w:val="48"/>
                                  </w:rPr>
                                  <w:t>52</w:t>
                                </w:r>
                                <w:r w:rsidRPr="00BD282F">
                                  <w:rPr>
                                    <w:sz w:val="48"/>
                                    <w:szCs w:val="48"/>
                                  </w:rPr>
                                  <w:t>-2</w:t>
                                </w:r>
                                <w:r w:rsidR="00C8295C">
                                  <w:rPr>
                                    <w:sz w:val="48"/>
                                    <w:szCs w:val="48"/>
                                  </w:rPr>
                                  <w:t>6</w:t>
                                </w:r>
                                <w:r w:rsidRPr="00BD282F">
                                  <w:rPr>
                                    <w:sz w:val="48"/>
                                    <w:szCs w:val="48"/>
                                  </w:rPr>
                                  <w:t>MC</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681A1F8" w14:textId="76F8EE49" w:rsidR="00D72C9A" w:rsidRPr="00A66CA8" w:rsidRDefault="008A7545" w:rsidP="00491CC7">
                          <w:pPr>
                            <w:pStyle w:val="NoSpacing"/>
                            <w:ind w:left="-2250"/>
                            <w:jc w:val="right"/>
                            <w:rPr>
                              <w:color w:val="00B0F0"/>
                              <w:sz w:val="48"/>
                              <w:szCs w:val="48"/>
                              <w:highlight w:val="blue"/>
                            </w:rPr>
                          </w:pPr>
                          <w:r>
                            <w:rPr>
                              <w:color w:val="595959" w:themeColor="text1" w:themeTint="A6"/>
                              <w:sz w:val="44"/>
                              <w:szCs w:val="44"/>
                            </w:rPr>
                            <w:t xml:space="preserve">F&amp;B </w:t>
                          </w:r>
                          <w:r w:rsidR="007F2BB7">
                            <w:rPr>
                              <w:color w:val="595959" w:themeColor="text1" w:themeTint="A6"/>
                              <w:sz w:val="44"/>
                              <w:szCs w:val="44"/>
                            </w:rPr>
                            <w:t>Kitchen</w:t>
                          </w:r>
                          <w:r w:rsidR="00491CC7">
                            <w:rPr>
                              <w:color w:val="595959" w:themeColor="text1" w:themeTint="A6"/>
                              <w:sz w:val="44"/>
                              <w:szCs w:val="44"/>
                            </w:rPr>
                            <w:t xml:space="preserve"> Equipment</w:t>
                          </w:r>
                        </w:p>
                        <w:p w14:paraId="762F89C5" w14:textId="0E8158A5" w:rsidR="00D72C9A" w:rsidRPr="00BD282F" w:rsidRDefault="00E94FAD" w:rsidP="00E96538">
                          <w:pPr>
                            <w:pStyle w:val="NoSpacing"/>
                            <w:jc w:val="right"/>
                            <w:rPr>
                              <w:sz w:val="44"/>
                              <w:szCs w:val="44"/>
                            </w:rPr>
                          </w:pPr>
                          <w:r w:rsidRPr="00BD282F">
                            <w:rPr>
                              <w:sz w:val="48"/>
                              <w:szCs w:val="48"/>
                            </w:rPr>
                            <w:t>RFP #S</w:t>
                          </w:r>
                          <w:r w:rsidR="007F2BB7">
                            <w:rPr>
                              <w:sz w:val="48"/>
                              <w:szCs w:val="48"/>
                            </w:rPr>
                            <w:t>GC</w:t>
                          </w:r>
                          <w:r w:rsidRPr="00BD282F">
                            <w:rPr>
                              <w:sz w:val="48"/>
                              <w:szCs w:val="48"/>
                            </w:rPr>
                            <w:t>-</w:t>
                          </w:r>
                          <w:r w:rsidR="00DE5ED2">
                            <w:rPr>
                              <w:sz w:val="48"/>
                              <w:szCs w:val="48"/>
                            </w:rPr>
                            <w:t>00</w:t>
                          </w:r>
                          <w:r w:rsidR="007F2BB7">
                            <w:rPr>
                              <w:sz w:val="48"/>
                              <w:szCs w:val="48"/>
                            </w:rPr>
                            <w:t>52</w:t>
                          </w:r>
                          <w:r w:rsidRPr="00BD282F">
                            <w:rPr>
                              <w:sz w:val="48"/>
                              <w:szCs w:val="48"/>
                            </w:rPr>
                            <w:t>-2</w:t>
                          </w:r>
                          <w:r w:rsidR="00C8295C">
                            <w:rPr>
                              <w:sz w:val="48"/>
                              <w:szCs w:val="48"/>
                            </w:rPr>
                            <w:t>6</w:t>
                          </w:r>
                          <w:r w:rsidRPr="00BD282F">
                            <w:rPr>
                              <w:sz w:val="48"/>
                              <w:szCs w:val="48"/>
                            </w:rPr>
                            <w:t>MC</w:t>
                          </w: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B21D8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B21D8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44C6B143" w14:textId="6E01FDCC" w:rsidR="00E00E8C"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3510281" w:history="1">
            <w:r w:rsidR="00E00E8C" w:rsidRPr="005B34E3">
              <w:rPr>
                <w:rStyle w:val="Hyperlink"/>
                <w:noProof/>
              </w:rPr>
              <w:t>I.</w:t>
            </w:r>
            <w:r w:rsidR="00E00E8C">
              <w:rPr>
                <w:rFonts w:eastAsiaTheme="minorEastAsia"/>
                <w:noProof/>
              </w:rPr>
              <w:tab/>
            </w:r>
            <w:r w:rsidR="00E00E8C" w:rsidRPr="005B34E3">
              <w:rPr>
                <w:rStyle w:val="Hyperlink"/>
                <w:noProof/>
              </w:rPr>
              <w:t>Introduction</w:t>
            </w:r>
            <w:r w:rsidR="00E00E8C">
              <w:rPr>
                <w:noProof/>
                <w:webHidden/>
              </w:rPr>
              <w:tab/>
            </w:r>
            <w:r w:rsidR="00E00E8C">
              <w:rPr>
                <w:noProof/>
                <w:webHidden/>
              </w:rPr>
              <w:fldChar w:fldCharType="begin"/>
            </w:r>
            <w:r w:rsidR="00E00E8C">
              <w:rPr>
                <w:noProof/>
                <w:webHidden/>
              </w:rPr>
              <w:instrText xml:space="preserve"> PAGEREF _Toc223510281 \h </w:instrText>
            </w:r>
            <w:r w:rsidR="00E00E8C">
              <w:rPr>
                <w:noProof/>
                <w:webHidden/>
              </w:rPr>
            </w:r>
            <w:r w:rsidR="00E00E8C">
              <w:rPr>
                <w:noProof/>
                <w:webHidden/>
              </w:rPr>
              <w:fldChar w:fldCharType="separate"/>
            </w:r>
            <w:r w:rsidR="00E00E8C">
              <w:rPr>
                <w:noProof/>
                <w:webHidden/>
              </w:rPr>
              <w:t>2</w:t>
            </w:r>
            <w:r w:rsidR="00E00E8C">
              <w:rPr>
                <w:noProof/>
                <w:webHidden/>
              </w:rPr>
              <w:fldChar w:fldCharType="end"/>
            </w:r>
          </w:hyperlink>
        </w:p>
        <w:p w14:paraId="158B3FDE" w14:textId="1A51658B" w:rsidR="00E00E8C" w:rsidRDefault="00B21D83">
          <w:pPr>
            <w:pStyle w:val="TOC1"/>
            <w:tabs>
              <w:tab w:val="left" w:pos="440"/>
              <w:tab w:val="right" w:leader="dot" w:pos="9350"/>
            </w:tabs>
            <w:rPr>
              <w:rFonts w:eastAsiaTheme="minorEastAsia"/>
              <w:noProof/>
            </w:rPr>
          </w:pPr>
          <w:hyperlink w:anchor="_Toc223510282" w:history="1">
            <w:r w:rsidR="00E00E8C" w:rsidRPr="005B34E3">
              <w:rPr>
                <w:rStyle w:val="Hyperlink"/>
                <w:noProof/>
              </w:rPr>
              <w:t>II.</w:t>
            </w:r>
            <w:r w:rsidR="00E00E8C">
              <w:rPr>
                <w:rFonts w:eastAsiaTheme="minorEastAsia"/>
                <w:noProof/>
              </w:rPr>
              <w:tab/>
            </w:r>
            <w:r w:rsidR="00E00E8C" w:rsidRPr="005B34E3">
              <w:rPr>
                <w:rStyle w:val="Hyperlink"/>
                <w:noProof/>
              </w:rPr>
              <w:t>RFP Objective</w:t>
            </w:r>
            <w:r w:rsidR="00E00E8C">
              <w:rPr>
                <w:noProof/>
                <w:webHidden/>
              </w:rPr>
              <w:tab/>
            </w:r>
            <w:r w:rsidR="00E00E8C">
              <w:rPr>
                <w:noProof/>
                <w:webHidden/>
              </w:rPr>
              <w:fldChar w:fldCharType="begin"/>
            </w:r>
            <w:r w:rsidR="00E00E8C">
              <w:rPr>
                <w:noProof/>
                <w:webHidden/>
              </w:rPr>
              <w:instrText xml:space="preserve"> PAGEREF _Toc223510282 \h </w:instrText>
            </w:r>
            <w:r w:rsidR="00E00E8C">
              <w:rPr>
                <w:noProof/>
                <w:webHidden/>
              </w:rPr>
            </w:r>
            <w:r w:rsidR="00E00E8C">
              <w:rPr>
                <w:noProof/>
                <w:webHidden/>
              </w:rPr>
              <w:fldChar w:fldCharType="separate"/>
            </w:r>
            <w:r w:rsidR="00E00E8C">
              <w:rPr>
                <w:noProof/>
                <w:webHidden/>
              </w:rPr>
              <w:t>2</w:t>
            </w:r>
            <w:r w:rsidR="00E00E8C">
              <w:rPr>
                <w:noProof/>
                <w:webHidden/>
              </w:rPr>
              <w:fldChar w:fldCharType="end"/>
            </w:r>
          </w:hyperlink>
        </w:p>
        <w:p w14:paraId="1A1DEA0A" w14:textId="0F3842C9" w:rsidR="00E00E8C" w:rsidRDefault="00B21D83">
          <w:pPr>
            <w:pStyle w:val="TOC1"/>
            <w:tabs>
              <w:tab w:val="left" w:pos="660"/>
              <w:tab w:val="right" w:leader="dot" w:pos="9350"/>
            </w:tabs>
            <w:rPr>
              <w:rFonts w:eastAsiaTheme="minorEastAsia"/>
              <w:noProof/>
            </w:rPr>
          </w:pPr>
          <w:hyperlink w:anchor="_Toc223510283" w:history="1">
            <w:r w:rsidR="00E00E8C" w:rsidRPr="005B34E3">
              <w:rPr>
                <w:rStyle w:val="Hyperlink"/>
                <w:noProof/>
              </w:rPr>
              <w:t>III.</w:t>
            </w:r>
            <w:r w:rsidR="00E00E8C">
              <w:rPr>
                <w:rFonts w:eastAsiaTheme="minorEastAsia"/>
                <w:noProof/>
              </w:rPr>
              <w:tab/>
            </w:r>
            <w:r w:rsidR="00E00E8C" w:rsidRPr="005B34E3">
              <w:rPr>
                <w:rStyle w:val="Hyperlink"/>
                <w:noProof/>
              </w:rPr>
              <w:t>Scope of Services:</w:t>
            </w:r>
            <w:r w:rsidR="00E00E8C">
              <w:rPr>
                <w:noProof/>
                <w:webHidden/>
              </w:rPr>
              <w:tab/>
            </w:r>
            <w:r w:rsidR="00E00E8C">
              <w:rPr>
                <w:noProof/>
                <w:webHidden/>
              </w:rPr>
              <w:fldChar w:fldCharType="begin"/>
            </w:r>
            <w:r w:rsidR="00E00E8C">
              <w:rPr>
                <w:noProof/>
                <w:webHidden/>
              </w:rPr>
              <w:instrText xml:space="preserve"> PAGEREF _Toc223510283 \h </w:instrText>
            </w:r>
            <w:r w:rsidR="00E00E8C">
              <w:rPr>
                <w:noProof/>
                <w:webHidden/>
              </w:rPr>
            </w:r>
            <w:r w:rsidR="00E00E8C">
              <w:rPr>
                <w:noProof/>
                <w:webHidden/>
              </w:rPr>
              <w:fldChar w:fldCharType="separate"/>
            </w:r>
            <w:r w:rsidR="00E00E8C">
              <w:rPr>
                <w:noProof/>
                <w:webHidden/>
              </w:rPr>
              <w:t>2</w:t>
            </w:r>
            <w:r w:rsidR="00E00E8C">
              <w:rPr>
                <w:noProof/>
                <w:webHidden/>
              </w:rPr>
              <w:fldChar w:fldCharType="end"/>
            </w:r>
          </w:hyperlink>
        </w:p>
        <w:p w14:paraId="08A83291" w14:textId="11EC273C" w:rsidR="00E00E8C" w:rsidRDefault="00B21D83">
          <w:pPr>
            <w:pStyle w:val="TOC1"/>
            <w:tabs>
              <w:tab w:val="left" w:pos="660"/>
              <w:tab w:val="right" w:leader="dot" w:pos="9350"/>
            </w:tabs>
            <w:rPr>
              <w:rFonts w:eastAsiaTheme="minorEastAsia"/>
              <w:noProof/>
            </w:rPr>
          </w:pPr>
          <w:hyperlink w:anchor="_Toc223510284" w:history="1">
            <w:r w:rsidR="00E00E8C" w:rsidRPr="005B34E3">
              <w:rPr>
                <w:rStyle w:val="Hyperlink"/>
                <w:noProof/>
              </w:rPr>
              <w:t>IV.</w:t>
            </w:r>
            <w:r w:rsidR="00E00E8C">
              <w:rPr>
                <w:rFonts w:eastAsiaTheme="minorEastAsia"/>
                <w:noProof/>
              </w:rPr>
              <w:tab/>
            </w:r>
            <w:r w:rsidR="00E00E8C" w:rsidRPr="005B34E3">
              <w:rPr>
                <w:rStyle w:val="Hyperlink"/>
                <w:noProof/>
              </w:rPr>
              <w:t>RFP Administrative Information</w:t>
            </w:r>
            <w:r w:rsidR="00E00E8C">
              <w:rPr>
                <w:noProof/>
                <w:webHidden/>
              </w:rPr>
              <w:tab/>
            </w:r>
            <w:r w:rsidR="00E00E8C">
              <w:rPr>
                <w:noProof/>
                <w:webHidden/>
              </w:rPr>
              <w:fldChar w:fldCharType="begin"/>
            </w:r>
            <w:r w:rsidR="00E00E8C">
              <w:rPr>
                <w:noProof/>
                <w:webHidden/>
              </w:rPr>
              <w:instrText xml:space="preserve"> PAGEREF _Toc223510284 \h </w:instrText>
            </w:r>
            <w:r w:rsidR="00E00E8C">
              <w:rPr>
                <w:noProof/>
                <w:webHidden/>
              </w:rPr>
            </w:r>
            <w:r w:rsidR="00E00E8C">
              <w:rPr>
                <w:noProof/>
                <w:webHidden/>
              </w:rPr>
              <w:fldChar w:fldCharType="separate"/>
            </w:r>
            <w:r w:rsidR="00E00E8C">
              <w:rPr>
                <w:noProof/>
                <w:webHidden/>
              </w:rPr>
              <w:t>3</w:t>
            </w:r>
            <w:r w:rsidR="00E00E8C">
              <w:rPr>
                <w:noProof/>
                <w:webHidden/>
              </w:rPr>
              <w:fldChar w:fldCharType="end"/>
            </w:r>
          </w:hyperlink>
        </w:p>
        <w:p w14:paraId="37A8893E" w14:textId="31521AA2" w:rsidR="00E00E8C" w:rsidRDefault="00B21D83">
          <w:pPr>
            <w:pStyle w:val="TOC2"/>
            <w:tabs>
              <w:tab w:val="left" w:pos="660"/>
              <w:tab w:val="right" w:leader="dot" w:pos="9350"/>
            </w:tabs>
            <w:rPr>
              <w:rFonts w:eastAsiaTheme="minorEastAsia"/>
              <w:noProof/>
            </w:rPr>
          </w:pPr>
          <w:hyperlink w:anchor="_Toc223510285" w:history="1">
            <w:r w:rsidR="00E00E8C" w:rsidRPr="005B34E3">
              <w:rPr>
                <w:rStyle w:val="Hyperlink"/>
                <w:noProof/>
              </w:rPr>
              <w:t>A.</w:t>
            </w:r>
            <w:r w:rsidR="00E00E8C">
              <w:rPr>
                <w:rFonts w:eastAsiaTheme="minorEastAsia"/>
                <w:noProof/>
              </w:rPr>
              <w:tab/>
            </w:r>
            <w:r w:rsidR="00E00E8C" w:rsidRPr="005B34E3">
              <w:rPr>
                <w:rStyle w:val="Hyperlink"/>
                <w:noProof/>
              </w:rPr>
              <w:t>Contact Information</w:t>
            </w:r>
            <w:r w:rsidR="00E00E8C">
              <w:rPr>
                <w:noProof/>
                <w:webHidden/>
              </w:rPr>
              <w:tab/>
            </w:r>
            <w:r w:rsidR="00E00E8C">
              <w:rPr>
                <w:noProof/>
                <w:webHidden/>
              </w:rPr>
              <w:fldChar w:fldCharType="begin"/>
            </w:r>
            <w:r w:rsidR="00E00E8C">
              <w:rPr>
                <w:noProof/>
                <w:webHidden/>
              </w:rPr>
              <w:instrText xml:space="preserve"> PAGEREF _Toc223510285 \h </w:instrText>
            </w:r>
            <w:r w:rsidR="00E00E8C">
              <w:rPr>
                <w:noProof/>
                <w:webHidden/>
              </w:rPr>
            </w:r>
            <w:r w:rsidR="00E00E8C">
              <w:rPr>
                <w:noProof/>
                <w:webHidden/>
              </w:rPr>
              <w:fldChar w:fldCharType="separate"/>
            </w:r>
            <w:r w:rsidR="00E00E8C">
              <w:rPr>
                <w:noProof/>
                <w:webHidden/>
              </w:rPr>
              <w:t>3</w:t>
            </w:r>
            <w:r w:rsidR="00E00E8C">
              <w:rPr>
                <w:noProof/>
                <w:webHidden/>
              </w:rPr>
              <w:fldChar w:fldCharType="end"/>
            </w:r>
          </w:hyperlink>
        </w:p>
        <w:p w14:paraId="57A5DB93" w14:textId="6DA301EB" w:rsidR="00E00E8C" w:rsidRDefault="00B21D83">
          <w:pPr>
            <w:pStyle w:val="TOC2"/>
            <w:tabs>
              <w:tab w:val="left" w:pos="660"/>
              <w:tab w:val="right" w:leader="dot" w:pos="9350"/>
            </w:tabs>
            <w:rPr>
              <w:rFonts w:eastAsiaTheme="minorEastAsia"/>
              <w:noProof/>
            </w:rPr>
          </w:pPr>
          <w:hyperlink w:anchor="_Toc223510286" w:history="1">
            <w:r w:rsidR="00E00E8C" w:rsidRPr="005B34E3">
              <w:rPr>
                <w:rStyle w:val="Hyperlink"/>
                <w:noProof/>
              </w:rPr>
              <w:t>B.</w:t>
            </w:r>
            <w:r w:rsidR="00E00E8C">
              <w:rPr>
                <w:rFonts w:eastAsiaTheme="minorEastAsia"/>
                <w:noProof/>
              </w:rPr>
              <w:tab/>
            </w:r>
            <w:r w:rsidR="00E00E8C" w:rsidRPr="005B34E3">
              <w:rPr>
                <w:rStyle w:val="Hyperlink"/>
                <w:noProof/>
              </w:rPr>
              <w:t>Schedule of Events</w:t>
            </w:r>
            <w:r w:rsidR="00E00E8C">
              <w:rPr>
                <w:noProof/>
                <w:webHidden/>
              </w:rPr>
              <w:tab/>
            </w:r>
            <w:r w:rsidR="00E00E8C">
              <w:rPr>
                <w:noProof/>
                <w:webHidden/>
              </w:rPr>
              <w:fldChar w:fldCharType="begin"/>
            </w:r>
            <w:r w:rsidR="00E00E8C">
              <w:rPr>
                <w:noProof/>
                <w:webHidden/>
              </w:rPr>
              <w:instrText xml:space="preserve"> PAGEREF _Toc223510286 \h </w:instrText>
            </w:r>
            <w:r w:rsidR="00E00E8C">
              <w:rPr>
                <w:noProof/>
                <w:webHidden/>
              </w:rPr>
            </w:r>
            <w:r w:rsidR="00E00E8C">
              <w:rPr>
                <w:noProof/>
                <w:webHidden/>
              </w:rPr>
              <w:fldChar w:fldCharType="separate"/>
            </w:r>
            <w:r w:rsidR="00E00E8C">
              <w:rPr>
                <w:noProof/>
                <w:webHidden/>
              </w:rPr>
              <w:t>3</w:t>
            </w:r>
            <w:r w:rsidR="00E00E8C">
              <w:rPr>
                <w:noProof/>
                <w:webHidden/>
              </w:rPr>
              <w:fldChar w:fldCharType="end"/>
            </w:r>
          </w:hyperlink>
        </w:p>
        <w:p w14:paraId="10E57E42" w14:textId="6C14275A" w:rsidR="00E00E8C" w:rsidRDefault="00B21D83">
          <w:pPr>
            <w:pStyle w:val="TOC2"/>
            <w:tabs>
              <w:tab w:val="left" w:pos="660"/>
              <w:tab w:val="right" w:leader="dot" w:pos="9350"/>
            </w:tabs>
            <w:rPr>
              <w:rFonts w:eastAsiaTheme="minorEastAsia"/>
              <w:noProof/>
            </w:rPr>
          </w:pPr>
          <w:hyperlink w:anchor="_Toc223510287" w:history="1">
            <w:r w:rsidR="00E00E8C" w:rsidRPr="005B34E3">
              <w:rPr>
                <w:rStyle w:val="Hyperlink"/>
                <w:rFonts w:eastAsia="Times New Roman"/>
                <w:noProof/>
              </w:rPr>
              <w:t>C.</w:t>
            </w:r>
            <w:r w:rsidR="00E00E8C">
              <w:rPr>
                <w:rFonts w:eastAsiaTheme="minorEastAsia"/>
                <w:noProof/>
              </w:rPr>
              <w:tab/>
            </w:r>
            <w:r w:rsidR="00E00E8C" w:rsidRPr="005B34E3">
              <w:rPr>
                <w:rStyle w:val="Hyperlink"/>
                <w:rFonts w:eastAsia="Times New Roman"/>
                <w:noProof/>
              </w:rPr>
              <w:t>Intent to Bid</w:t>
            </w:r>
            <w:r w:rsidR="00E00E8C">
              <w:rPr>
                <w:noProof/>
                <w:webHidden/>
              </w:rPr>
              <w:tab/>
            </w:r>
            <w:r w:rsidR="00E00E8C">
              <w:rPr>
                <w:noProof/>
                <w:webHidden/>
              </w:rPr>
              <w:fldChar w:fldCharType="begin"/>
            </w:r>
            <w:r w:rsidR="00E00E8C">
              <w:rPr>
                <w:noProof/>
                <w:webHidden/>
              </w:rPr>
              <w:instrText xml:space="preserve"> PAGEREF _Toc223510287 \h </w:instrText>
            </w:r>
            <w:r w:rsidR="00E00E8C">
              <w:rPr>
                <w:noProof/>
                <w:webHidden/>
              </w:rPr>
            </w:r>
            <w:r w:rsidR="00E00E8C">
              <w:rPr>
                <w:noProof/>
                <w:webHidden/>
              </w:rPr>
              <w:fldChar w:fldCharType="separate"/>
            </w:r>
            <w:r w:rsidR="00E00E8C">
              <w:rPr>
                <w:noProof/>
                <w:webHidden/>
              </w:rPr>
              <w:t>3</w:t>
            </w:r>
            <w:r w:rsidR="00E00E8C">
              <w:rPr>
                <w:noProof/>
                <w:webHidden/>
              </w:rPr>
              <w:fldChar w:fldCharType="end"/>
            </w:r>
          </w:hyperlink>
        </w:p>
        <w:p w14:paraId="4F295403" w14:textId="29A1AC5B" w:rsidR="00E00E8C" w:rsidRDefault="00B21D83">
          <w:pPr>
            <w:pStyle w:val="TOC2"/>
            <w:tabs>
              <w:tab w:val="left" w:pos="660"/>
              <w:tab w:val="right" w:leader="dot" w:pos="9350"/>
            </w:tabs>
            <w:rPr>
              <w:rFonts w:eastAsiaTheme="minorEastAsia"/>
              <w:noProof/>
            </w:rPr>
          </w:pPr>
          <w:hyperlink w:anchor="_Toc223510288" w:history="1">
            <w:r w:rsidR="00E00E8C" w:rsidRPr="005B34E3">
              <w:rPr>
                <w:rStyle w:val="Hyperlink"/>
                <w:rFonts w:eastAsia="Times New Roman"/>
                <w:noProof/>
              </w:rPr>
              <w:t>D.</w:t>
            </w:r>
            <w:r w:rsidR="00E00E8C">
              <w:rPr>
                <w:rFonts w:eastAsiaTheme="minorEastAsia"/>
                <w:noProof/>
              </w:rPr>
              <w:tab/>
            </w:r>
            <w:r w:rsidR="00E00E8C" w:rsidRPr="005B34E3">
              <w:rPr>
                <w:rStyle w:val="Hyperlink"/>
                <w:rFonts w:eastAsia="Times New Roman"/>
                <w:noProof/>
              </w:rPr>
              <w:t>Bidder Questions</w:t>
            </w:r>
            <w:r w:rsidR="00E00E8C">
              <w:rPr>
                <w:noProof/>
                <w:webHidden/>
              </w:rPr>
              <w:tab/>
            </w:r>
            <w:r w:rsidR="00E00E8C">
              <w:rPr>
                <w:noProof/>
                <w:webHidden/>
              </w:rPr>
              <w:fldChar w:fldCharType="begin"/>
            </w:r>
            <w:r w:rsidR="00E00E8C">
              <w:rPr>
                <w:noProof/>
                <w:webHidden/>
              </w:rPr>
              <w:instrText xml:space="preserve"> PAGEREF _Toc223510288 \h </w:instrText>
            </w:r>
            <w:r w:rsidR="00E00E8C">
              <w:rPr>
                <w:noProof/>
                <w:webHidden/>
              </w:rPr>
            </w:r>
            <w:r w:rsidR="00E00E8C">
              <w:rPr>
                <w:noProof/>
                <w:webHidden/>
              </w:rPr>
              <w:fldChar w:fldCharType="separate"/>
            </w:r>
            <w:r w:rsidR="00E00E8C">
              <w:rPr>
                <w:noProof/>
                <w:webHidden/>
              </w:rPr>
              <w:t>3</w:t>
            </w:r>
            <w:r w:rsidR="00E00E8C">
              <w:rPr>
                <w:noProof/>
                <w:webHidden/>
              </w:rPr>
              <w:fldChar w:fldCharType="end"/>
            </w:r>
          </w:hyperlink>
        </w:p>
        <w:p w14:paraId="7F88CD1B" w14:textId="61D620A9" w:rsidR="00E00E8C" w:rsidRDefault="00B21D83">
          <w:pPr>
            <w:pStyle w:val="TOC2"/>
            <w:tabs>
              <w:tab w:val="left" w:pos="660"/>
              <w:tab w:val="right" w:leader="dot" w:pos="9350"/>
            </w:tabs>
            <w:rPr>
              <w:rFonts w:eastAsiaTheme="minorEastAsia"/>
              <w:noProof/>
            </w:rPr>
          </w:pPr>
          <w:hyperlink w:anchor="_Toc223510289" w:history="1">
            <w:r w:rsidR="00E00E8C" w:rsidRPr="005B34E3">
              <w:rPr>
                <w:rStyle w:val="Hyperlink"/>
                <w:rFonts w:eastAsia="Times New Roman"/>
                <w:noProof/>
              </w:rPr>
              <w:t>E.</w:t>
            </w:r>
            <w:r w:rsidR="00E00E8C">
              <w:rPr>
                <w:rFonts w:eastAsiaTheme="minorEastAsia"/>
                <w:noProof/>
              </w:rPr>
              <w:tab/>
            </w:r>
            <w:r w:rsidR="00E00E8C" w:rsidRPr="005B34E3">
              <w:rPr>
                <w:rStyle w:val="Hyperlink"/>
                <w:rFonts w:eastAsia="Times New Roman"/>
                <w:noProof/>
              </w:rPr>
              <w:t>Submission of Proposals</w:t>
            </w:r>
            <w:r w:rsidR="00E00E8C">
              <w:rPr>
                <w:noProof/>
                <w:webHidden/>
              </w:rPr>
              <w:tab/>
            </w:r>
            <w:r w:rsidR="00E00E8C">
              <w:rPr>
                <w:noProof/>
                <w:webHidden/>
              </w:rPr>
              <w:fldChar w:fldCharType="begin"/>
            </w:r>
            <w:r w:rsidR="00E00E8C">
              <w:rPr>
                <w:noProof/>
                <w:webHidden/>
              </w:rPr>
              <w:instrText xml:space="preserve"> PAGEREF _Toc223510289 \h </w:instrText>
            </w:r>
            <w:r w:rsidR="00E00E8C">
              <w:rPr>
                <w:noProof/>
                <w:webHidden/>
              </w:rPr>
            </w:r>
            <w:r w:rsidR="00E00E8C">
              <w:rPr>
                <w:noProof/>
                <w:webHidden/>
              </w:rPr>
              <w:fldChar w:fldCharType="separate"/>
            </w:r>
            <w:r w:rsidR="00E00E8C">
              <w:rPr>
                <w:noProof/>
                <w:webHidden/>
              </w:rPr>
              <w:t>4</w:t>
            </w:r>
            <w:r w:rsidR="00E00E8C">
              <w:rPr>
                <w:noProof/>
                <w:webHidden/>
              </w:rPr>
              <w:fldChar w:fldCharType="end"/>
            </w:r>
          </w:hyperlink>
        </w:p>
        <w:p w14:paraId="3E3172BB" w14:textId="00FB2788" w:rsidR="00E00E8C" w:rsidRDefault="00B21D83">
          <w:pPr>
            <w:pStyle w:val="TOC2"/>
            <w:tabs>
              <w:tab w:val="left" w:pos="660"/>
              <w:tab w:val="right" w:leader="dot" w:pos="9350"/>
            </w:tabs>
            <w:rPr>
              <w:rFonts w:eastAsiaTheme="minorEastAsia"/>
              <w:noProof/>
            </w:rPr>
          </w:pPr>
          <w:hyperlink w:anchor="_Toc223510290" w:history="1">
            <w:r w:rsidR="00E00E8C" w:rsidRPr="005B34E3">
              <w:rPr>
                <w:rStyle w:val="Hyperlink"/>
                <w:rFonts w:eastAsia="Times New Roman"/>
                <w:noProof/>
              </w:rPr>
              <w:t>F.</w:t>
            </w:r>
            <w:r w:rsidR="00E00E8C">
              <w:rPr>
                <w:rFonts w:eastAsiaTheme="minorEastAsia"/>
                <w:noProof/>
              </w:rPr>
              <w:tab/>
            </w:r>
            <w:r w:rsidR="00E00E8C" w:rsidRPr="005B34E3">
              <w:rPr>
                <w:rStyle w:val="Hyperlink"/>
                <w:rFonts w:eastAsia="Times New Roman"/>
                <w:noProof/>
              </w:rPr>
              <w:t>Proposal Format</w:t>
            </w:r>
            <w:r w:rsidR="00E00E8C">
              <w:rPr>
                <w:noProof/>
                <w:webHidden/>
              </w:rPr>
              <w:tab/>
            </w:r>
            <w:r w:rsidR="00E00E8C">
              <w:rPr>
                <w:noProof/>
                <w:webHidden/>
              </w:rPr>
              <w:fldChar w:fldCharType="begin"/>
            </w:r>
            <w:r w:rsidR="00E00E8C">
              <w:rPr>
                <w:noProof/>
                <w:webHidden/>
              </w:rPr>
              <w:instrText xml:space="preserve"> PAGEREF _Toc223510290 \h </w:instrText>
            </w:r>
            <w:r w:rsidR="00E00E8C">
              <w:rPr>
                <w:noProof/>
                <w:webHidden/>
              </w:rPr>
            </w:r>
            <w:r w:rsidR="00E00E8C">
              <w:rPr>
                <w:noProof/>
                <w:webHidden/>
              </w:rPr>
              <w:fldChar w:fldCharType="separate"/>
            </w:r>
            <w:r w:rsidR="00E00E8C">
              <w:rPr>
                <w:noProof/>
                <w:webHidden/>
              </w:rPr>
              <w:t>4</w:t>
            </w:r>
            <w:r w:rsidR="00E00E8C">
              <w:rPr>
                <w:noProof/>
                <w:webHidden/>
              </w:rPr>
              <w:fldChar w:fldCharType="end"/>
            </w:r>
          </w:hyperlink>
        </w:p>
        <w:p w14:paraId="0A0B3565" w14:textId="24CDBE6C" w:rsidR="00E00E8C" w:rsidRDefault="00B21D83">
          <w:pPr>
            <w:pStyle w:val="TOC2"/>
            <w:tabs>
              <w:tab w:val="left" w:pos="660"/>
              <w:tab w:val="right" w:leader="dot" w:pos="9350"/>
            </w:tabs>
            <w:rPr>
              <w:rFonts w:eastAsiaTheme="minorEastAsia"/>
              <w:noProof/>
            </w:rPr>
          </w:pPr>
          <w:hyperlink w:anchor="_Toc223510291" w:history="1">
            <w:r w:rsidR="00E00E8C" w:rsidRPr="005B34E3">
              <w:rPr>
                <w:rStyle w:val="Hyperlink"/>
                <w:rFonts w:eastAsia="Times New Roman"/>
                <w:noProof/>
              </w:rPr>
              <w:t>G.</w:t>
            </w:r>
            <w:r w:rsidR="00E00E8C">
              <w:rPr>
                <w:rFonts w:eastAsiaTheme="minorEastAsia"/>
                <w:noProof/>
              </w:rPr>
              <w:tab/>
            </w:r>
            <w:r w:rsidR="00E00E8C" w:rsidRPr="005B34E3">
              <w:rPr>
                <w:rStyle w:val="Hyperlink"/>
                <w:rFonts w:eastAsia="Times New Roman"/>
                <w:noProof/>
              </w:rPr>
              <w:t>Conditions</w:t>
            </w:r>
            <w:r w:rsidR="00E00E8C">
              <w:rPr>
                <w:noProof/>
                <w:webHidden/>
              </w:rPr>
              <w:tab/>
            </w:r>
            <w:r w:rsidR="00E00E8C">
              <w:rPr>
                <w:noProof/>
                <w:webHidden/>
              </w:rPr>
              <w:fldChar w:fldCharType="begin"/>
            </w:r>
            <w:r w:rsidR="00E00E8C">
              <w:rPr>
                <w:noProof/>
                <w:webHidden/>
              </w:rPr>
              <w:instrText xml:space="preserve"> PAGEREF _Toc223510291 \h </w:instrText>
            </w:r>
            <w:r w:rsidR="00E00E8C">
              <w:rPr>
                <w:noProof/>
                <w:webHidden/>
              </w:rPr>
            </w:r>
            <w:r w:rsidR="00E00E8C">
              <w:rPr>
                <w:noProof/>
                <w:webHidden/>
              </w:rPr>
              <w:fldChar w:fldCharType="separate"/>
            </w:r>
            <w:r w:rsidR="00E00E8C">
              <w:rPr>
                <w:noProof/>
                <w:webHidden/>
              </w:rPr>
              <w:t>5</w:t>
            </w:r>
            <w:r w:rsidR="00E00E8C">
              <w:rPr>
                <w:noProof/>
                <w:webHidden/>
              </w:rPr>
              <w:fldChar w:fldCharType="end"/>
            </w:r>
          </w:hyperlink>
        </w:p>
        <w:p w14:paraId="6B0C25C7" w14:textId="6B64A2EF" w:rsidR="00E00E8C" w:rsidRDefault="00B21D83">
          <w:pPr>
            <w:pStyle w:val="TOC2"/>
            <w:tabs>
              <w:tab w:val="left" w:pos="660"/>
              <w:tab w:val="right" w:leader="dot" w:pos="9350"/>
            </w:tabs>
            <w:rPr>
              <w:rFonts w:eastAsiaTheme="minorEastAsia"/>
              <w:noProof/>
            </w:rPr>
          </w:pPr>
          <w:hyperlink w:anchor="_Toc223510292" w:history="1">
            <w:r w:rsidR="00E00E8C" w:rsidRPr="005B34E3">
              <w:rPr>
                <w:rStyle w:val="Hyperlink"/>
                <w:rFonts w:eastAsia="Times New Roman"/>
                <w:noProof/>
              </w:rPr>
              <w:t>H.</w:t>
            </w:r>
            <w:r w:rsidR="00E00E8C">
              <w:rPr>
                <w:rFonts w:eastAsiaTheme="minorEastAsia"/>
                <w:noProof/>
              </w:rPr>
              <w:tab/>
            </w:r>
            <w:r w:rsidR="00E00E8C" w:rsidRPr="005B34E3">
              <w:rPr>
                <w:rStyle w:val="Hyperlink"/>
                <w:rFonts w:eastAsia="Times New Roman"/>
                <w:noProof/>
              </w:rPr>
              <w:t>Proposal Evaluation/Vendor Selection</w:t>
            </w:r>
            <w:r w:rsidR="00E00E8C">
              <w:rPr>
                <w:noProof/>
                <w:webHidden/>
              </w:rPr>
              <w:tab/>
            </w:r>
            <w:r w:rsidR="00E00E8C">
              <w:rPr>
                <w:noProof/>
                <w:webHidden/>
              </w:rPr>
              <w:fldChar w:fldCharType="begin"/>
            </w:r>
            <w:r w:rsidR="00E00E8C">
              <w:rPr>
                <w:noProof/>
                <w:webHidden/>
              </w:rPr>
              <w:instrText xml:space="preserve"> PAGEREF _Toc223510292 \h </w:instrText>
            </w:r>
            <w:r w:rsidR="00E00E8C">
              <w:rPr>
                <w:noProof/>
                <w:webHidden/>
              </w:rPr>
            </w:r>
            <w:r w:rsidR="00E00E8C">
              <w:rPr>
                <w:noProof/>
                <w:webHidden/>
              </w:rPr>
              <w:fldChar w:fldCharType="separate"/>
            </w:r>
            <w:r w:rsidR="00E00E8C">
              <w:rPr>
                <w:noProof/>
                <w:webHidden/>
              </w:rPr>
              <w:t>6</w:t>
            </w:r>
            <w:r w:rsidR="00E00E8C">
              <w:rPr>
                <w:noProof/>
                <w:webHidden/>
              </w:rPr>
              <w:fldChar w:fldCharType="end"/>
            </w:r>
          </w:hyperlink>
        </w:p>
        <w:p w14:paraId="4C122513" w14:textId="3CEEA860" w:rsidR="00E00E8C" w:rsidRDefault="00B21D83">
          <w:pPr>
            <w:pStyle w:val="TOC2"/>
            <w:tabs>
              <w:tab w:val="left" w:pos="660"/>
              <w:tab w:val="right" w:leader="dot" w:pos="9350"/>
            </w:tabs>
            <w:rPr>
              <w:rFonts w:eastAsiaTheme="minorEastAsia"/>
              <w:noProof/>
            </w:rPr>
          </w:pPr>
          <w:hyperlink w:anchor="_Toc223510293" w:history="1">
            <w:r w:rsidR="00E00E8C" w:rsidRPr="005B34E3">
              <w:rPr>
                <w:rStyle w:val="Hyperlink"/>
                <w:rFonts w:eastAsia="Times New Roman"/>
                <w:noProof/>
              </w:rPr>
              <w:t>I.</w:t>
            </w:r>
            <w:r w:rsidR="00E00E8C">
              <w:rPr>
                <w:rFonts w:eastAsiaTheme="minorEastAsia"/>
                <w:noProof/>
              </w:rPr>
              <w:tab/>
            </w:r>
            <w:r w:rsidR="00E00E8C" w:rsidRPr="005B34E3">
              <w:rPr>
                <w:rStyle w:val="Hyperlink"/>
                <w:rFonts w:eastAsia="Times New Roman"/>
                <w:noProof/>
              </w:rPr>
              <w:t>General Bidder Information</w:t>
            </w:r>
            <w:r w:rsidR="00E00E8C">
              <w:rPr>
                <w:noProof/>
                <w:webHidden/>
              </w:rPr>
              <w:tab/>
            </w:r>
            <w:r w:rsidR="00E00E8C">
              <w:rPr>
                <w:noProof/>
                <w:webHidden/>
              </w:rPr>
              <w:fldChar w:fldCharType="begin"/>
            </w:r>
            <w:r w:rsidR="00E00E8C">
              <w:rPr>
                <w:noProof/>
                <w:webHidden/>
              </w:rPr>
              <w:instrText xml:space="preserve"> PAGEREF _Toc223510293 \h </w:instrText>
            </w:r>
            <w:r w:rsidR="00E00E8C">
              <w:rPr>
                <w:noProof/>
                <w:webHidden/>
              </w:rPr>
            </w:r>
            <w:r w:rsidR="00E00E8C">
              <w:rPr>
                <w:noProof/>
                <w:webHidden/>
              </w:rPr>
              <w:fldChar w:fldCharType="separate"/>
            </w:r>
            <w:r w:rsidR="00E00E8C">
              <w:rPr>
                <w:noProof/>
                <w:webHidden/>
              </w:rPr>
              <w:t>6</w:t>
            </w:r>
            <w:r w:rsidR="00E00E8C">
              <w:rPr>
                <w:noProof/>
                <w:webHidden/>
              </w:rPr>
              <w:fldChar w:fldCharType="end"/>
            </w:r>
          </w:hyperlink>
        </w:p>
        <w:p w14:paraId="6F252563" w14:textId="78A94E25" w:rsidR="00E00E8C" w:rsidRDefault="00B21D83">
          <w:pPr>
            <w:pStyle w:val="TOC2"/>
            <w:tabs>
              <w:tab w:val="left" w:pos="660"/>
              <w:tab w:val="right" w:leader="dot" w:pos="9350"/>
            </w:tabs>
            <w:rPr>
              <w:rFonts w:eastAsiaTheme="minorEastAsia"/>
              <w:noProof/>
            </w:rPr>
          </w:pPr>
          <w:hyperlink w:anchor="_Toc223510294" w:history="1">
            <w:r w:rsidR="00E00E8C" w:rsidRPr="005B34E3">
              <w:rPr>
                <w:rStyle w:val="Hyperlink"/>
                <w:rFonts w:eastAsia="Times New Roman"/>
                <w:noProof/>
              </w:rPr>
              <w:t>J.</w:t>
            </w:r>
            <w:r w:rsidR="00E00E8C">
              <w:rPr>
                <w:rFonts w:eastAsiaTheme="minorEastAsia"/>
                <w:noProof/>
              </w:rPr>
              <w:tab/>
            </w:r>
            <w:r w:rsidR="00E00E8C" w:rsidRPr="005B34E3">
              <w:rPr>
                <w:rStyle w:val="Hyperlink"/>
                <w:rFonts w:eastAsia="Times New Roman"/>
                <w:noProof/>
              </w:rPr>
              <w:t>SGC Standard Terms and Conditions</w:t>
            </w:r>
            <w:r w:rsidR="00E00E8C">
              <w:rPr>
                <w:noProof/>
                <w:webHidden/>
              </w:rPr>
              <w:tab/>
            </w:r>
            <w:r w:rsidR="00E00E8C">
              <w:rPr>
                <w:noProof/>
                <w:webHidden/>
              </w:rPr>
              <w:fldChar w:fldCharType="begin"/>
            </w:r>
            <w:r w:rsidR="00E00E8C">
              <w:rPr>
                <w:noProof/>
                <w:webHidden/>
              </w:rPr>
              <w:instrText xml:space="preserve"> PAGEREF _Toc223510294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7F183ED9" w14:textId="2CFE4DCD" w:rsidR="00E00E8C" w:rsidRDefault="00B21D83">
          <w:pPr>
            <w:pStyle w:val="TOC1"/>
            <w:tabs>
              <w:tab w:val="left" w:pos="440"/>
              <w:tab w:val="right" w:leader="dot" w:pos="9350"/>
            </w:tabs>
            <w:rPr>
              <w:rFonts w:eastAsiaTheme="minorEastAsia"/>
              <w:noProof/>
            </w:rPr>
          </w:pPr>
          <w:hyperlink w:anchor="_Toc223510295" w:history="1">
            <w:r w:rsidR="00E00E8C" w:rsidRPr="005B34E3">
              <w:rPr>
                <w:rStyle w:val="Hyperlink"/>
                <w:rFonts w:eastAsia="Times New Roman"/>
                <w:noProof/>
              </w:rPr>
              <w:t>V.</w:t>
            </w:r>
            <w:r w:rsidR="00E00E8C">
              <w:rPr>
                <w:rFonts w:eastAsiaTheme="minorEastAsia"/>
                <w:noProof/>
              </w:rPr>
              <w:tab/>
            </w:r>
            <w:r w:rsidR="00E00E8C" w:rsidRPr="005B34E3">
              <w:rPr>
                <w:rStyle w:val="Hyperlink"/>
                <w:rFonts w:eastAsia="Times New Roman"/>
                <w:noProof/>
              </w:rPr>
              <w:t>Provisions Applicable to the Contract</w:t>
            </w:r>
            <w:r w:rsidR="00E00E8C">
              <w:rPr>
                <w:noProof/>
                <w:webHidden/>
              </w:rPr>
              <w:tab/>
            </w:r>
            <w:r w:rsidR="00E00E8C">
              <w:rPr>
                <w:noProof/>
                <w:webHidden/>
              </w:rPr>
              <w:fldChar w:fldCharType="begin"/>
            </w:r>
            <w:r w:rsidR="00E00E8C">
              <w:rPr>
                <w:noProof/>
                <w:webHidden/>
              </w:rPr>
              <w:instrText xml:space="preserve"> PAGEREF _Toc223510295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602FFCA5" w14:textId="014EB0C7" w:rsidR="00E00E8C" w:rsidRDefault="00B21D83">
          <w:pPr>
            <w:pStyle w:val="TOC2"/>
            <w:tabs>
              <w:tab w:val="left" w:pos="660"/>
              <w:tab w:val="right" w:leader="dot" w:pos="9350"/>
            </w:tabs>
            <w:rPr>
              <w:rFonts w:eastAsiaTheme="minorEastAsia"/>
              <w:noProof/>
            </w:rPr>
          </w:pPr>
          <w:hyperlink w:anchor="_Toc223510296" w:history="1">
            <w:r w:rsidR="00E00E8C" w:rsidRPr="005B34E3">
              <w:rPr>
                <w:rStyle w:val="Hyperlink"/>
                <w:rFonts w:eastAsia="Times New Roman"/>
                <w:noProof/>
              </w:rPr>
              <w:t>A.</w:t>
            </w:r>
            <w:r w:rsidR="00E00E8C">
              <w:rPr>
                <w:rFonts w:eastAsiaTheme="minorEastAsia"/>
                <w:noProof/>
              </w:rPr>
              <w:tab/>
            </w:r>
            <w:r w:rsidR="00E00E8C" w:rsidRPr="005B34E3">
              <w:rPr>
                <w:rStyle w:val="Hyperlink"/>
                <w:rFonts w:eastAsia="Times New Roman"/>
                <w:noProof/>
              </w:rPr>
              <w:t>Pricing and Payment Terms</w:t>
            </w:r>
            <w:r w:rsidR="00E00E8C">
              <w:rPr>
                <w:noProof/>
                <w:webHidden/>
              </w:rPr>
              <w:tab/>
            </w:r>
            <w:r w:rsidR="00E00E8C">
              <w:rPr>
                <w:noProof/>
                <w:webHidden/>
              </w:rPr>
              <w:fldChar w:fldCharType="begin"/>
            </w:r>
            <w:r w:rsidR="00E00E8C">
              <w:rPr>
                <w:noProof/>
                <w:webHidden/>
              </w:rPr>
              <w:instrText xml:space="preserve"> PAGEREF _Toc223510296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2BFC42D9" w14:textId="54E4866A" w:rsidR="00E00E8C" w:rsidRDefault="00B21D83">
          <w:pPr>
            <w:pStyle w:val="TOC2"/>
            <w:tabs>
              <w:tab w:val="left" w:pos="660"/>
              <w:tab w:val="right" w:leader="dot" w:pos="9350"/>
            </w:tabs>
            <w:rPr>
              <w:rFonts w:eastAsiaTheme="minorEastAsia"/>
              <w:noProof/>
            </w:rPr>
          </w:pPr>
          <w:hyperlink w:anchor="_Toc223510297" w:history="1">
            <w:r w:rsidR="00E00E8C" w:rsidRPr="005B34E3">
              <w:rPr>
                <w:rStyle w:val="Hyperlink"/>
                <w:rFonts w:eastAsia="Times New Roman"/>
                <w:noProof/>
              </w:rPr>
              <w:t>B.</w:t>
            </w:r>
            <w:r w:rsidR="00E00E8C">
              <w:rPr>
                <w:rFonts w:eastAsiaTheme="minorEastAsia"/>
                <w:noProof/>
              </w:rPr>
              <w:tab/>
            </w:r>
            <w:r w:rsidR="00E00E8C" w:rsidRPr="005B34E3">
              <w:rPr>
                <w:rStyle w:val="Hyperlink"/>
                <w:rFonts w:eastAsia="Times New Roman"/>
                <w:noProof/>
              </w:rPr>
              <w:t>Tax Exempt Status</w:t>
            </w:r>
            <w:r w:rsidR="00E00E8C">
              <w:rPr>
                <w:noProof/>
                <w:webHidden/>
              </w:rPr>
              <w:tab/>
            </w:r>
            <w:r w:rsidR="00E00E8C">
              <w:rPr>
                <w:noProof/>
                <w:webHidden/>
              </w:rPr>
              <w:fldChar w:fldCharType="begin"/>
            </w:r>
            <w:r w:rsidR="00E00E8C">
              <w:rPr>
                <w:noProof/>
                <w:webHidden/>
              </w:rPr>
              <w:instrText xml:space="preserve"> PAGEREF _Toc223510297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079D50CF" w14:textId="7D9EE8A0" w:rsidR="00E00E8C" w:rsidRDefault="00B21D83">
          <w:pPr>
            <w:pStyle w:val="TOC2"/>
            <w:tabs>
              <w:tab w:val="left" w:pos="660"/>
              <w:tab w:val="right" w:leader="dot" w:pos="9350"/>
            </w:tabs>
            <w:rPr>
              <w:rFonts w:eastAsiaTheme="minorEastAsia"/>
              <w:noProof/>
            </w:rPr>
          </w:pPr>
          <w:hyperlink w:anchor="_Toc223510298" w:history="1">
            <w:r w:rsidR="00E00E8C" w:rsidRPr="005B34E3">
              <w:rPr>
                <w:rStyle w:val="Hyperlink"/>
                <w:rFonts w:eastAsia="Times New Roman"/>
                <w:noProof/>
              </w:rPr>
              <w:t>C.</w:t>
            </w:r>
            <w:r w:rsidR="00E00E8C">
              <w:rPr>
                <w:rFonts w:eastAsiaTheme="minorEastAsia"/>
                <w:noProof/>
              </w:rPr>
              <w:tab/>
            </w:r>
            <w:r w:rsidR="00E00E8C" w:rsidRPr="005B34E3">
              <w:rPr>
                <w:rStyle w:val="Hyperlink"/>
                <w:rFonts w:eastAsia="Times New Roman"/>
                <w:noProof/>
              </w:rPr>
              <w:t>Payment Terms</w:t>
            </w:r>
            <w:r w:rsidR="00E00E8C">
              <w:rPr>
                <w:noProof/>
                <w:webHidden/>
              </w:rPr>
              <w:tab/>
            </w:r>
            <w:r w:rsidR="00E00E8C">
              <w:rPr>
                <w:noProof/>
                <w:webHidden/>
              </w:rPr>
              <w:fldChar w:fldCharType="begin"/>
            </w:r>
            <w:r w:rsidR="00E00E8C">
              <w:rPr>
                <w:noProof/>
                <w:webHidden/>
              </w:rPr>
              <w:instrText xml:space="preserve"> PAGEREF _Toc223510298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3931BDBC" w14:textId="1C84D619" w:rsidR="00E00E8C" w:rsidRDefault="00B21D83">
          <w:pPr>
            <w:pStyle w:val="TOC1"/>
            <w:tabs>
              <w:tab w:val="left" w:pos="660"/>
              <w:tab w:val="right" w:leader="dot" w:pos="9350"/>
            </w:tabs>
            <w:rPr>
              <w:rFonts w:eastAsiaTheme="minorEastAsia"/>
              <w:noProof/>
            </w:rPr>
          </w:pPr>
          <w:hyperlink w:anchor="_Toc223510299" w:history="1">
            <w:r w:rsidR="00E00E8C" w:rsidRPr="005B34E3">
              <w:rPr>
                <w:rStyle w:val="Hyperlink"/>
                <w:rFonts w:eastAsia="Times New Roman"/>
                <w:noProof/>
              </w:rPr>
              <w:t>VI.</w:t>
            </w:r>
            <w:r w:rsidR="00E00E8C">
              <w:rPr>
                <w:rFonts w:eastAsiaTheme="minorEastAsia"/>
                <w:noProof/>
              </w:rPr>
              <w:tab/>
            </w:r>
            <w:r w:rsidR="00E00E8C" w:rsidRPr="005B34E3">
              <w:rPr>
                <w:rStyle w:val="Hyperlink"/>
                <w:rFonts w:eastAsia="Times New Roman"/>
                <w:noProof/>
              </w:rPr>
              <w:t>Supplemental Bidder Information</w:t>
            </w:r>
            <w:r w:rsidR="00E00E8C">
              <w:rPr>
                <w:noProof/>
                <w:webHidden/>
              </w:rPr>
              <w:tab/>
            </w:r>
            <w:r w:rsidR="00E00E8C">
              <w:rPr>
                <w:noProof/>
                <w:webHidden/>
              </w:rPr>
              <w:fldChar w:fldCharType="begin"/>
            </w:r>
            <w:r w:rsidR="00E00E8C">
              <w:rPr>
                <w:noProof/>
                <w:webHidden/>
              </w:rPr>
              <w:instrText xml:space="preserve"> PAGEREF _Toc223510299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4448B967" w14:textId="1CB683AD" w:rsidR="00E00E8C" w:rsidRDefault="00B21D83">
          <w:pPr>
            <w:pStyle w:val="TOC2"/>
            <w:tabs>
              <w:tab w:val="left" w:pos="660"/>
              <w:tab w:val="right" w:leader="dot" w:pos="9350"/>
            </w:tabs>
            <w:rPr>
              <w:rFonts w:eastAsiaTheme="minorEastAsia"/>
              <w:noProof/>
            </w:rPr>
          </w:pPr>
          <w:hyperlink w:anchor="_Toc223510300" w:history="1">
            <w:r w:rsidR="00E00E8C" w:rsidRPr="005B34E3">
              <w:rPr>
                <w:rStyle w:val="Hyperlink"/>
                <w:rFonts w:eastAsia="Times New Roman"/>
                <w:noProof/>
              </w:rPr>
              <w:t>A.</w:t>
            </w:r>
            <w:r w:rsidR="00E00E8C">
              <w:rPr>
                <w:rFonts w:eastAsiaTheme="minorEastAsia"/>
                <w:noProof/>
              </w:rPr>
              <w:tab/>
            </w:r>
            <w:r w:rsidR="00E00E8C" w:rsidRPr="005B34E3">
              <w:rPr>
                <w:rStyle w:val="Hyperlink"/>
                <w:rFonts w:eastAsia="Times New Roman"/>
                <w:noProof/>
              </w:rPr>
              <w:t>Conformity of Proposal with SGC Requirements</w:t>
            </w:r>
            <w:r w:rsidR="00E00E8C">
              <w:rPr>
                <w:noProof/>
                <w:webHidden/>
              </w:rPr>
              <w:tab/>
            </w:r>
            <w:r w:rsidR="00E00E8C">
              <w:rPr>
                <w:noProof/>
                <w:webHidden/>
              </w:rPr>
              <w:fldChar w:fldCharType="begin"/>
            </w:r>
            <w:r w:rsidR="00E00E8C">
              <w:rPr>
                <w:noProof/>
                <w:webHidden/>
              </w:rPr>
              <w:instrText xml:space="preserve"> PAGEREF _Toc223510300 \h </w:instrText>
            </w:r>
            <w:r w:rsidR="00E00E8C">
              <w:rPr>
                <w:noProof/>
                <w:webHidden/>
              </w:rPr>
            </w:r>
            <w:r w:rsidR="00E00E8C">
              <w:rPr>
                <w:noProof/>
                <w:webHidden/>
              </w:rPr>
              <w:fldChar w:fldCharType="separate"/>
            </w:r>
            <w:r w:rsidR="00E00E8C">
              <w:rPr>
                <w:noProof/>
                <w:webHidden/>
              </w:rPr>
              <w:t>7</w:t>
            </w:r>
            <w:r w:rsidR="00E00E8C">
              <w:rPr>
                <w:noProof/>
                <w:webHidden/>
              </w:rPr>
              <w:fldChar w:fldCharType="end"/>
            </w:r>
          </w:hyperlink>
        </w:p>
        <w:p w14:paraId="34FD71AC" w14:textId="4C84CA44" w:rsidR="00E00E8C" w:rsidRDefault="00B21D83">
          <w:pPr>
            <w:pStyle w:val="TOC1"/>
            <w:tabs>
              <w:tab w:val="left" w:pos="660"/>
              <w:tab w:val="right" w:leader="dot" w:pos="9350"/>
            </w:tabs>
            <w:rPr>
              <w:rFonts w:eastAsiaTheme="minorEastAsia"/>
              <w:noProof/>
            </w:rPr>
          </w:pPr>
          <w:hyperlink w:anchor="_Toc223510301" w:history="1">
            <w:r w:rsidR="00E00E8C" w:rsidRPr="005B34E3">
              <w:rPr>
                <w:rStyle w:val="Hyperlink"/>
                <w:rFonts w:eastAsia="Times New Roman"/>
                <w:noProof/>
              </w:rPr>
              <w:t>VII.</w:t>
            </w:r>
            <w:r w:rsidR="00E00E8C">
              <w:rPr>
                <w:rFonts w:eastAsiaTheme="minorEastAsia"/>
                <w:noProof/>
              </w:rPr>
              <w:tab/>
            </w:r>
            <w:r w:rsidR="00E00E8C" w:rsidRPr="005B34E3">
              <w:rPr>
                <w:rStyle w:val="Hyperlink"/>
                <w:rFonts w:eastAsia="Times New Roman"/>
                <w:noProof/>
              </w:rPr>
              <w:t>Vendor Requirements</w:t>
            </w:r>
            <w:r w:rsidR="00E00E8C">
              <w:rPr>
                <w:noProof/>
                <w:webHidden/>
              </w:rPr>
              <w:tab/>
            </w:r>
            <w:r w:rsidR="00E00E8C">
              <w:rPr>
                <w:noProof/>
                <w:webHidden/>
              </w:rPr>
              <w:fldChar w:fldCharType="begin"/>
            </w:r>
            <w:r w:rsidR="00E00E8C">
              <w:rPr>
                <w:noProof/>
                <w:webHidden/>
              </w:rPr>
              <w:instrText xml:space="preserve"> PAGEREF _Toc223510301 \h </w:instrText>
            </w:r>
            <w:r w:rsidR="00E00E8C">
              <w:rPr>
                <w:noProof/>
                <w:webHidden/>
              </w:rPr>
            </w:r>
            <w:r w:rsidR="00E00E8C">
              <w:rPr>
                <w:noProof/>
                <w:webHidden/>
              </w:rPr>
              <w:fldChar w:fldCharType="separate"/>
            </w:r>
            <w:r w:rsidR="00E00E8C">
              <w:rPr>
                <w:noProof/>
                <w:webHidden/>
              </w:rPr>
              <w:t>8</w:t>
            </w:r>
            <w:r w:rsidR="00E00E8C">
              <w:rPr>
                <w:noProof/>
                <w:webHidden/>
              </w:rPr>
              <w:fldChar w:fldCharType="end"/>
            </w:r>
          </w:hyperlink>
        </w:p>
        <w:p w14:paraId="79FE915F" w14:textId="44AB2F7E" w:rsidR="00E00E8C" w:rsidRDefault="00B21D83">
          <w:pPr>
            <w:pStyle w:val="TOC2"/>
            <w:tabs>
              <w:tab w:val="left" w:pos="660"/>
              <w:tab w:val="right" w:leader="dot" w:pos="9350"/>
            </w:tabs>
            <w:rPr>
              <w:rFonts w:eastAsiaTheme="minorEastAsia"/>
              <w:noProof/>
            </w:rPr>
          </w:pPr>
          <w:hyperlink w:anchor="_Toc223510302" w:history="1">
            <w:r w:rsidR="00E00E8C" w:rsidRPr="005B34E3">
              <w:rPr>
                <w:rStyle w:val="Hyperlink"/>
                <w:rFonts w:eastAsia="Times New Roman"/>
                <w:noProof/>
              </w:rPr>
              <w:t>A.</w:t>
            </w:r>
            <w:r w:rsidR="00E00E8C">
              <w:rPr>
                <w:rFonts w:eastAsiaTheme="minorEastAsia"/>
                <w:noProof/>
              </w:rPr>
              <w:tab/>
            </w:r>
            <w:r w:rsidR="00E00E8C" w:rsidRPr="005B34E3">
              <w:rPr>
                <w:rStyle w:val="Hyperlink"/>
                <w:rFonts w:eastAsia="Times New Roman"/>
                <w:noProof/>
              </w:rPr>
              <w:t>Proposal</w:t>
            </w:r>
            <w:r w:rsidR="00E00E8C">
              <w:rPr>
                <w:noProof/>
                <w:webHidden/>
              </w:rPr>
              <w:tab/>
            </w:r>
            <w:r w:rsidR="00E00E8C">
              <w:rPr>
                <w:noProof/>
                <w:webHidden/>
              </w:rPr>
              <w:fldChar w:fldCharType="begin"/>
            </w:r>
            <w:r w:rsidR="00E00E8C">
              <w:rPr>
                <w:noProof/>
                <w:webHidden/>
              </w:rPr>
              <w:instrText xml:space="preserve"> PAGEREF _Toc223510302 \h </w:instrText>
            </w:r>
            <w:r w:rsidR="00E00E8C">
              <w:rPr>
                <w:noProof/>
                <w:webHidden/>
              </w:rPr>
            </w:r>
            <w:r w:rsidR="00E00E8C">
              <w:rPr>
                <w:noProof/>
                <w:webHidden/>
              </w:rPr>
              <w:fldChar w:fldCharType="separate"/>
            </w:r>
            <w:r w:rsidR="00E00E8C">
              <w:rPr>
                <w:noProof/>
                <w:webHidden/>
              </w:rPr>
              <w:t>8</w:t>
            </w:r>
            <w:r w:rsidR="00E00E8C">
              <w:rPr>
                <w:noProof/>
                <w:webHidden/>
              </w:rPr>
              <w:fldChar w:fldCharType="end"/>
            </w:r>
          </w:hyperlink>
        </w:p>
        <w:p w14:paraId="361BEB10" w14:textId="56110B2A" w:rsidR="00E00E8C" w:rsidRDefault="00B21D83">
          <w:pPr>
            <w:pStyle w:val="TOC2"/>
            <w:tabs>
              <w:tab w:val="left" w:pos="660"/>
              <w:tab w:val="right" w:leader="dot" w:pos="9350"/>
            </w:tabs>
            <w:rPr>
              <w:rFonts w:eastAsiaTheme="minorEastAsia"/>
              <w:noProof/>
            </w:rPr>
          </w:pPr>
          <w:hyperlink w:anchor="_Toc223510303" w:history="1">
            <w:r w:rsidR="00E00E8C" w:rsidRPr="005B34E3">
              <w:rPr>
                <w:rStyle w:val="Hyperlink"/>
                <w:rFonts w:eastAsia="Times New Roman"/>
                <w:noProof/>
              </w:rPr>
              <w:t>B.</w:t>
            </w:r>
            <w:r w:rsidR="00E00E8C">
              <w:rPr>
                <w:rFonts w:eastAsiaTheme="minorEastAsia"/>
                <w:noProof/>
              </w:rPr>
              <w:tab/>
            </w:r>
            <w:r w:rsidR="00E00E8C" w:rsidRPr="005B34E3">
              <w:rPr>
                <w:rStyle w:val="Hyperlink"/>
                <w:rFonts w:eastAsia="Times New Roman"/>
                <w:noProof/>
              </w:rPr>
              <w:t>Standard Supply Agreement</w:t>
            </w:r>
            <w:r w:rsidR="00E00E8C">
              <w:rPr>
                <w:noProof/>
                <w:webHidden/>
              </w:rPr>
              <w:tab/>
            </w:r>
            <w:r w:rsidR="00E00E8C">
              <w:rPr>
                <w:noProof/>
                <w:webHidden/>
              </w:rPr>
              <w:fldChar w:fldCharType="begin"/>
            </w:r>
            <w:r w:rsidR="00E00E8C">
              <w:rPr>
                <w:noProof/>
                <w:webHidden/>
              </w:rPr>
              <w:instrText xml:space="preserve"> PAGEREF _Toc223510303 \h </w:instrText>
            </w:r>
            <w:r w:rsidR="00E00E8C">
              <w:rPr>
                <w:noProof/>
                <w:webHidden/>
              </w:rPr>
            </w:r>
            <w:r w:rsidR="00E00E8C">
              <w:rPr>
                <w:noProof/>
                <w:webHidden/>
              </w:rPr>
              <w:fldChar w:fldCharType="separate"/>
            </w:r>
            <w:r w:rsidR="00E00E8C">
              <w:rPr>
                <w:noProof/>
                <w:webHidden/>
              </w:rPr>
              <w:t>8</w:t>
            </w:r>
            <w:r w:rsidR="00E00E8C">
              <w:rPr>
                <w:noProof/>
                <w:webHidden/>
              </w:rPr>
              <w:fldChar w:fldCharType="end"/>
            </w:r>
          </w:hyperlink>
        </w:p>
        <w:p w14:paraId="6815A0E6" w14:textId="47A212EE" w:rsidR="00E00E8C" w:rsidRDefault="00B21D83">
          <w:pPr>
            <w:pStyle w:val="TOC2"/>
            <w:tabs>
              <w:tab w:val="left" w:pos="660"/>
              <w:tab w:val="right" w:leader="dot" w:pos="9350"/>
            </w:tabs>
            <w:rPr>
              <w:rFonts w:eastAsiaTheme="minorEastAsia"/>
              <w:noProof/>
            </w:rPr>
          </w:pPr>
          <w:hyperlink w:anchor="_Toc223510304" w:history="1">
            <w:r w:rsidR="00E00E8C" w:rsidRPr="005B34E3">
              <w:rPr>
                <w:rStyle w:val="Hyperlink"/>
                <w:rFonts w:eastAsia="Times New Roman"/>
                <w:noProof/>
              </w:rPr>
              <w:t>C.</w:t>
            </w:r>
            <w:r w:rsidR="00E00E8C">
              <w:rPr>
                <w:rFonts w:eastAsiaTheme="minorEastAsia"/>
                <w:noProof/>
              </w:rPr>
              <w:tab/>
            </w:r>
            <w:r w:rsidR="00E00E8C" w:rsidRPr="005B34E3">
              <w:rPr>
                <w:rStyle w:val="Hyperlink"/>
                <w:rFonts w:eastAsia="Times New Roman"/>
                <w:noProof/>
              </w:rPr>
              <w:t>Seneca Nation Business Registration Fee (SNIBRF)</w:t>
            </w:r>
            <w:r w:rsidR="00E00E8C">
              <w:rPr>
                <w:noProof/>
                <w:webHidden/>
              </w:rPr>
              <w:tab/>
            </w:r>
            <w:r w:rsidR="00E00E8C">
              <w:rPr>
                <w:noProof/>
                <w:webHidden/>
              </w:rPr>
              <w:fldChar w:fldCharType="begin"/>
            </w:r>
            <w:r w:rsidR="00E00E8C">
              <w:rPr>
                <w:noProof/>
                <w:webHidden/>
              </w:rPr>
              <w:instrText xml:space="preserve"> PAGEREF _Toc223510304 \h </w:instrText>
            </w:r>
            <w:r w:rsidR="00E00E8C">
              <w:rPr>
                <w:noProof/>
                <w:webHidden/>
              </w:rPr>
            </w:r>
            <w:r w:rsidR="00E00E8C">
              <w:rPr>
                <w:noProof/>
                <w:webHidden/>
              </w:rPr>
              <w:fldChar w:fldCharType="separate"/>
            </w:r>
            <w:r w:rsidR="00E00E8C">
              <w:rPr>
                <w:noProof/>
                <w:webHidden/>
              </w:rPr>
              <w:t>8</w:t>
            </w:r>
            <w:r w:rsidR="00E00E8C">
              <w:rPr>
                <w:noProof/>
                <w:webHidden/>
              </w:rPr>
              <w:fldChar w:fldCharType="end"/>
            </w:r>
          </w:hyperlink>
        </w:p>
        <w:p w14:paraId="20CA7A76" w14:textId="236A7132" w:rsidR="00E00E8C" w:rsidRDefault="00B21D83">
          <w:pPr>
            <w:pStyle w:val="TOC1"/>
            <w:tabs>
              <w:tab w:val="left" w:pos="660"/>
              <w:tab w:val="right" w:leader="dot" w:pos="9350"/>
            </w:tabs>
            <w:rPr>
              <w:rFonts w:eastAsiaTheme="minorEastAsia"/>
              <w:noProof/>
            </w:rPr>
          </w:pPr>
          <w:hyperlink w:anchor="_Toc223510305" w:history="1">
            <w:r w:rsidR="00E00E8C" w:rsidRPr="005B34E3">
              <w:rPr>
                <w:rStyle w:val="Hyperlink"/>
                <w:rFonts w:eastAsia="Times New Roman"/>
                <w:noProof/>
              </w:rPr>
              <w:t>VIII.</w:t>
            </w:r>
            <w:r w:rsidR="00E00E8C">
              <w:rPr>
                <w:rFonts w:eastAsiaTheme="minorEastAsia"/>
                <w:noProof/>
              </w:rPr>
              <w:tab/>
            </w:r>
            <w:r w:rsidR="00E00E8C" w:rsidRPr="005B34E3">
              <w:rPr>
                <w:rStyle w:val="Hyperlink"/>
                <w:rFonts w:eastAsia="Times New Roman"/>
                <w:noProof/>
              </w:rPr>
              <w:t>Bidder Certifications and Representations</w:t>
            </w:r>
            <w:r w:rsidR="00E00E8C">
              <w:rPr>
                <w:noProof/>
                <w:webHidden/>
              </w:rPr>
              <w:tab/>
            </w:r>
            <w:r w:rsidR="00E00E8C">
              <w:rPr>
                <w:noProof/>
                <w:webHidden/>
              </w:rPr>
              <w:fldChar w:fldCharType="begin"/>
            </w:r>
            <w:r w:rsidR="00E00E8C">
              <w:rPr>
                <w:noProof/>
                <w:webHidden/>
              </w:rPr>
              <w:instrText xml:space="preserve"> PAGEREF _Toc223510305 \h </w:instrText>
            </w:r>
            <w:r w:rsidR="00E00E8C">
              <w:rPr>
                <w:noProof/>
                <w:webHidden/>
              </w:rPr>
            </w:r>
            <w:r w:rsidR="00E00E8C">
              <w:rPr>
                <w:noProof/>
                <w:webHidden/>
              </w:rPr>
              <w:fldChar w:fldCharType="separate"/>
            </w:r>
            <w:r w:rsidR="00E00E8C">
              <w:rPr>
                <w:noProof/>
                <w:webHidden/>
              </w:rPr>
              <w:t>9</w:t>
            </w:r>
            <w:r w:rsidR="00E00E8C">
              <w:rPr>
                <w:noProof/>
                <w:webHidden/>
              </w:rPr>
              <w:fldChar w:fldCharType="end"/>
            </w:r>
          </w:hyperlink>
        </w:p>
        <w:p w14:paraId="23BBE583" w14:textId="12C8D1B8"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4E1A12">
      <w:pPr>
        <w:pStyle w:val="Heading1"/>
      </w:pPr>
      <w:bookmarkStart w:id="0" w:name="_Toc223510281"/>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4E1A12">
      <w:pPr>
        <w:pStyle w:val="Heading1"/>
      </w:pPr>
      <w:bookmarkStart w:id="1" w:name="_Toc223510282"/>
      <w:r>
        <w:t>RFP Objective</w:t>
      </w:r>
      <w:bookmarkEnd w:id="1"/>
    </w:p>
    <w:p w14:paraId="611D43B5" w14:textId="153E549B" w:rsidR="00FF7D84" w:rsidRDefault="00E96538" w:rsidP="004E1A12">
      <w:pPr>
        <w:spacing w:after="120" w:line="240" w:lineRule="auto"/>
        <w:ind w:left="720"/>
        <w:rPr>
          <w:rFonts w:eastAsia="Times New Roman" w:cstheme="minorHAnsi"/>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w:t>
      </w:r>
      <w:r w:rsidR="00491CC7">
        <w:rPr>
          <w:rFonts w:eastAsia="Times New Roman" w:cstheme="minorHAnsi"/>
        </w:rPr>
        <w:t xml:space="preserve">d vendor </w:t>
      </w:r>
      <w:r w:rsidR="00A40451">
        <w:rPr>
          <w:rFonts w:eastAsia="Times New Roman" w:cstheme="minorHAnsi"/>
        </w:rPr>
        <w:t xml:space="preserve">for </w:t>
      </w:r>
      <w:r w:rsidR="00491CC7">
        <w:rPr>
          <w:rFonts w:eastAsia="Times New Roman" w:cstheme="minorHAnsi"/>
        </w:rPr>
        <w:t xml:space="preserve">supply </w:t>
      </w:r>
      <w:r w:rsidR="0020319F">
        <w:rPr>
          <w:rFonts w:eastAsia="Times New Roman" w:cstheme="minorHAnsi"/>
        </w:rPr>
        <w:t xml:space="preserve">of </w:t>
      </w:r>
      <w:r w:rsidR="00720B3F">
        <w:rPr>
          <w:rFonts w:eastAsia="Times New Roman" w:cstheme="minorHAnsi"/>
        </w:rPr>
        <w:t xml:space="preserve">kitchen </w:t>
      </w:r>
      <w:r w:rsidR="00DE5ED2">
        <w:rPr>
          <w:rFonts w:eastAsia="Times New Roman" w:cstheme="minorHAnsi"/>
        </w:rPr>
        <w:t xml:space="preserve">equipment for </w:t>
      </w:r>
      <w:r w:rsidR="003A640E">
        <w:rPr>
          <w:rFonts w:eastAsia="Times New Roman" w:cstheme="minorHAnsi"/>
        </w:rPr>
        <w:t xml:space="preserve">SGC’s three casino properties. The equipment includes a tilt skillet, combi oven, and steamer for the Seneca Niagara Resort &amp; Casino (SNRC), two undercounter dishwashers for the Seneca Buffalo Creek Casino (SBCC), and a tilt skillet and convection oven for the Seneca Allegany Resort &amp; Casino (SARC). In addition, SARC is also asking for proposals for a pressure fryer, which may or not be included in the final scope of work.  </w:t>
      </w:r>
    </w:p>
    <w:p w14:paraId="18BE909E" w14:textId="5E47E22E" w:rsidR="003401B6" w:rsidRDefault="003401B6" w:rsidP="004E1A12">
      <w:pPr>
        <w:pStyle w:val="Heading1"/>
      </w:pPr>
      <w:bookmarkStart w:id="2" w:name="_Toc187756661"/>
      <w:bookmarkStart w:id="3" w:name="_Toc223510283"/>
      <w:r>
        <w:t>Scope of Services:</w:t>
      </w:r>
      <w:bookmarkEnd w:id="2"/>
      <w:bookmarkEnd w:id="3"/>
    </w:p>
    <w:p w14:paraId="2C9C04AD" w14:textId="5CC1C1AA" w:rsidR="00A10604" w:rsidRPr="00E0329E" w:rsidRDefault="00A10604" w:rsidP="00A10604">
      <w:pPr>
        <w:ind w:left="720"/>
        <w:jc w:val="both"/>
        <w:rPr>
          <w:szCs w:val="28"/>
        </w:rPr>
      </w:pPr>
      <w:r w:rsidRPr="00E0329E">
        <w:rPr>
          <w:szCs w:val="28"/>
        </w:rPr>
        <w:t>The enclosed details related to the goods and/or services in this RFP are based upon the operating department’s requirements.</w:t>
      </w:r>
    </w:p>
    <w:p w14:paraId="00E08982" w14:textId="33C28735" w:rsidR="00F227D5" w:rsidRDefault="00F227D5" w:rsidP="00F227D5">
      <w:pPr>
        <w:ind w:left="720"/>
      </w:pPr>
      <w:r>
        <w:t xml:space="preserve">Please reference the attached Excel document for a complete list of required equipment. </w:t>
      </w:r>
    </w:p>
    <w:p w14:paraId="725333D3" w14:textId="46DA5FAE" w:rsidR="003401B6" w:rsidRDefault="000C5982" w:rsidP="004E1A12">
      <w:pPr>
        <w:spacing w:after="120"/>
        <w:ind w:left="360"/>
        <w:jc w:val="center"/>
        <w:rPr>
          <w:rFonts w:cstheme="minorHAnsi"/>
          <w:b/>
          <w:bCs/>
          <w:sz w:val="21"/>
          <w:szCs w:val="21"/>
        </w:rPr>
      </w:pPr>
      <w:bookmarkStart w:id="4" w:name="_Hlk192590825"/>
      <w:r w:rsidRPr="005F36EB">
        <w:rPr>
          <w:rFonts w:cstheme="minorHAnsi"/>
          <w:b/>
          <w:bCs/>
          <w:sz w:val="21"/>
          <w:szCs w:val="21"/>
        </w:rPr>
        <w:t xml:space="preserve">Exhibit A </w:t>
      </w:r>
      <w:r w:rsidR="00720B3F">
        <w:rPr>
          <w:rFonts w:cstheme="minorHAnsi"/>
          <w:b/>
          <w:bCs/>
          <w:sz w:val="21"/>
          <w:szCs w:val="21"/>
        </w:rPr>
        <w:t>–</w:t>
      </w:r>
      <w:r w:rsidRPr="005F36EB">
        <w:rPr>
          <w:rFonts w:cstheme="minorHAnsi"/>
          <w:b/>
          <w:bCs/>
          <w:sz w:val="21"/>
          <w:szCs w:val="21"/>
        </w:rPr>
        <w:t xml:space="preserve"> </w:t>
      </w:r>
      <w:bookmarkEnd w:id="4"/>
      <w:r w:rsidR="00720B3F">
        <w:rPr>
          <w:rFonts w:cstheme="minorHAnsi"/>
          <w:b/>
          <w:bCs/>
          <w:sz w:val="21"/>
          <w:szCs w:val="21"/>
        </w:rPr>
        <w:t xml:space="preserve">SGC-0052-26MC </w:t>
      </w:r>
      <w:r w:rsidR="00BA3933">
        <w:rPr>
          <w:rFonts w:cstheme="minorHAnsi"/>
          <w:b/>
          <w:bCs/>
          <w:sz w:val="21"/>
          <w:szCs w:val="21"/>
        </w:rPr>
        <w:t>F&amp;B Kitchen Equipment</w:t>
      </w:r>
    </w:p>
    <w:p w14:paraId="1C4A7AB4" w14:textId="11DB61E5" w:rsidR="004E1A12" w:rsidRPr="00A10604" w:rsidRDefault="004E1A12" w:rsidP="004E1A12">
      <w:pPr>
        <w:ind w:left="720"/>
        <w:rPr>
          <w:bCs/>
          <w:iCs/>
        </w:rPr>
      </w:pPr>
      <w:r w:rsidRPr="00A10604">
        <w:rPr>
          <w:bCs/>
          <w:iCs/>
        </w:rPr>
        <w:t>This spreadsheet contains five (5) tabs and must be completed and returned with your bid. Failure to complete this document may disqualify your bid proposal.</w:t>
      </w:r>
    </w:p>
    <w:p w14:paraId="110FD20F" w14:textId="77777777" w:rsidR="004E1A12" w:rsidRDefault="004E1A12" w:rsidP="004E1A12">
      <w:pPr>
        <w:pStyle w:val="ListParagraph"/>
        <w:numPr>
          <w:ilvl w:val="0"/>
          <w:numId w:val="12"/>
        </w:numPr>
        <w:rPr>
          <w:bCs/>
          <w:iCs/>
        </w:rPr>
      </w:pPr>
      <w:r w:rsidRPr="004E1A12">
        <w:rPr>
          <w:bCs/>
          <w:iCs/>
        </w:rPr>
        <w:t>‘Instructions’ tab: Bidder feedback is not required on this tab.</w:t>
      </w:r>
    </w:p>
    <w:p w14:paraId="50EA891E" w14:textId="77777777" w:rsidR="004E1A12" w:rsidRDefault="004E1A12" w:rsidP="004E1A12">
      <w:pPr>
        <w:pStyle w:val="ListParagraph"/>
        <w:numPr>
          <w:ilvl w:val="0"/>
          <w:numId w:val="12"/>
        </w:numPr>
        <w:rPr>
          <w:bCs/>
          <w:iCs/>
        </w:rPr>
      </w:pPr>
      <w:r w:rsidRPr="004E1A12">
        <w:rPr>
          <w:bCs/>
          <w:iCs/>
        </w:rPr>
        <w:t>‘Bidder Overview’ tab: Seeks basic information regarding your company.</w:t>
      </w:r>
    </w:p>
    <w:p w14:paraId="72726458" w14:textId="77777777" w:rsidR="004E1A12" w:rsidRDefault="004E1A12" w:rsidP="004E1A12">
      <w:pPr>
        <w:pStyle w:val="ListParagraph"/>
        <w:numPr>
          <w:ilvl w:val="0"/>
          <w:numId w:val="12"/>
        </w:numPr>
        <w:rPr>
          <w:bCs/>
          <w:iCs/>
        </w:rPr>
      </w:pPr>
      <w:r w:rsidRPr="004E1A12">
        <w:rPr>
          <w:bCs/>
          <w:iCs/>
        </w:rPr>
        <w:t>‘References’ tab: If possible, references should be casino and casino-resort clients.</w:t>
      </w:r>
    </w:p>
    <w:p w14:paraId="5D962792" w14:textId="77777777" w:rsidR="004E1A12" w:rsidRDefault="004E1A12" w:rsidP="004E1A12">
      <w:pPr>
        <w:pStyle w:val="ListParagraph"/>
        <w:numPr>
          <w:ilvl w:val="0"/>
          <w:numId w:val="12"/>
        </w:numPr>
        <w:rPr>
          <w:bCs/>
          <w:iCs/>
        </w:rPr>
      </w:pPr>
      <w:r w:rsidRPr="004E1A12">
        <w:rPr>
          <w:bCs/>
          <w:iCs/>
        </w:rPr>
        <w:t>‘Questionnaire’ tab: Seeks feedback to questions related to your company, its products, your proposal, etc.</w:t>
      </w:r>
    </w:p>
    <w:p w14:paraId="6F26B369" w14:textId="77777777" w:rsidR="004E1A12" w:rsidRDefault="004E1A12" w:rsidP="004E1A12">
      <w:pPr>
        <w:pStyle w:val="ListParagraph"/>
        <w:numPr>
          <w:ilvl w:val="0"/>
          <w:numId w:val="12"/>
        </w:numPr>
        <w:rPr>
          <w:bCs/>
          <w:iCs/>
        </w:rPr>
      </w:pPr>
      <w:r w:rsidRPr="004E1A12">
        <w:rPr>
          <w:bCs/>
          <w:iCs/>
        </w:rPr>
        <w:t>‘Specs – Pricing’ tab:</w:t>
      </w:r>
    </w:p>
    <w:p w14:paraId="64AD0769" w14:textId="77777777" w:rsidR="004E1A12" w:rsidRDefault="004E1A12" w:rsidP="004E1A12">
      <w:pPr>
        <w:pStyle w:val="ListParagraph"/>
        <w:numPr>
          <w:ilvl w:val="1"/>
          <w:numId w:val="12"/>
        </w:numPr>
        <w:rPr>
          <w:bCs/>
          <w:iCs/>
        </w:rPr>
      </w:pPr>
      <w:r w:rsidRPr="004E1A12">
        <w:rPr>
          <w:bCs/>
          <w:iCs/>
        </w:rPr>
        <w:t>Provides specifications for the requested restaurant equipment.</w:t>
      </w:r>
    </w:p>
    <w:p w14:paraId="10173BD0" w14:textId="13408186" w:rsidR="004E1A12" w:rsidRDefault="004E1A12" w:rsidP="004E1A12">
      <w:pPr>
        <w:pStyle w:val="ListParagraph"/>
        <w:numPr>
          <w:ilvl w:val="1"/>
          <w:numId w:val="12"/>
        </w:numPr>
        <w:rPr>
          <w:bCs/>
          <w:iCs/>
        </w:rPr>
      </w:pPr>
      <w:r w:rsidRPr="004E1A12">
        <w:rPr>
          <w:bCs/>
          <w:iCs/>
        </w:rPr>
        <w:t xml:space="preserve">Provides instructions for submitting a proposal. </w:t>
      </w:r>
      <w:r w:rsidRPr="004E1A12">
        <w:rPr>
          <w:bCs/>
          <w:iCs/>
          <w:color w:val="FF0000"/>
          <w:u w:val="single"/>
        </w:rPr>
        <w:t xml:space="preserve">Pricing must be submitted on this tab. </w:t>
      </w:r>
      <w:r w:rsidRPr="004E1A12">
        <w:rPr>
          <w:bCs/>
          <w:iCs/>
        </w:rPr>
        <w:t>Proposals may be also submitted as a separate document, if desired.</w:t>
      </w:r>
    </w:p>
    <w:p w14:paraId="23987DE3" w14:textId="77777777" w:rsidR="00D25FA9" w:rsidRDefault="00D25FA9" w:rsidP="00D25FA9">
      <w:pPr>
        <w:spacing w:after="0"/>
        <w:ind w:firstLine="720"/>
        <w:rPr>
          <w:bCs/>
          <w:iCs/>
        </w:rPr>
      </w:pPr>
      <w:r>
        <w:rPr>
          <w:bCs/>
          <w:iCs/>
        </w:rPr>
        <w:t>The following must be included with your proposal:</w:t>
      </w:r>
    </w:p>
    <w:p w14:paraId="2C223AF1" w14:textId="77777777" w:rsidR="00D25FA9" w:rsidRDefault="00D25FA9" w:rsidP="00D25FA9">
      <w:pPr>
        <w:numPr>
          <w:ilvl w:val="0"/>
          <w:numId w:val="17"/>
        </w:numPr>
        <w:spacing w:after="0"/>
        <w:jc w:val="both"/>
        <w:rPr>
          <w:szCs w:val="28"/>
        </w:rPr>
      </w:pPr>
      <w:r>
        <w:rPr>
          <w:szCs w:val="28"/>
        </w:rPr>
        <w:t>Freight</w:t>
      </w:r>
    </w:p>
    <w:p w14:paraId="383C0259" w14:textId="5F1FB706" w:rsidR="00D25FA9" w:rsidRPr="00F227D5" w:rsidRDefault="00D25FA9" w:rsidP="00D25FA9">
      <w:pPr>
        <w:pStyle w:val="ListParagraph"/>
        <w:numPr>
          <w:ilvl w:val="0"/>
          <w:numId w:val="17"/>
        </w:numPr>
        <w:rPr>
          <w:bCs/>
          <w:iCs/>
        </w:rPr>
      </w:pPr>
      <w:r>
        <w:t xml:space="preserve">Any applicable </w:t>
      </w:r>
      <w:r w:rsidRPr="003723DD">
        <w:t>discount</w:t>
      </w:r>
      <w:r>
        <w:t>s</w:t>
      </w:r>
      <w:r w:rsidRPr="003723DD">
        <w:t>/incentives</w:t>
      </w:r>
    </w:p>
    <w:p w14:paraId="7132DF27" w14:textId="77777777" w:rsidR="00D25FA9" w:rsidRDefault="00D25FA9" w:rsidP="00D25FA9">
      <w:pPr>
        <w:pStyle w:val="ListParagraph"/>
        <w:numPr>
          <w:ilvl w:val="0"/>
          <w:numId w:val="17"/>
        </w:numPr>
      </w:pPr>
      <w:r>
        <w:t>A</w:t>
      </w:r>
      <w:r w:rsidRPr="00A10604">
        <w:t>pproximate lead times.</w:t>
      </w:r>
    </w:p>
    <w:p w14:paraId="47A7DEAB" w14:textId="77777777" w:rsidR="00D25FA9" w:rsidRDefault="00D25FA9" w:rsidP="00D25FA9">
      <w:pPr>
        <w:pStyle w:val="ListParagraph"/>
        <w:numPr>
          <w:ilvl w:val="0"/>
          <w:numId w:val="17"/>
        </w:numPr>
      </w:pPr>
      <w:r>
        <w:t>Any applicable warranty information</w:t>
      </w:r>
    </w:p>
    <w:p w14:paraId="0E161792" w14:textId="77777777" w:rsidR="00D25FA9" w:rsidRPr="00A10604" w:rsidRDefault="00D25FA9" w:rsidP="00D25FA9">
      <w:pPr>
        <w:pStyle w:val="ListParagraph"/>
        <w:numPr>
          <w:ilvl w:val="0"/>
          <w:numId w:val="17"/>
        </w:numPr>
      </w:pPr>
      <w:r>
        <w:t>If you are able, please include pricing for set-in-place service</w:t>
      </w:r>
    </w:p>
    <w:p w14:paraId="609AF5B7" w14:textId="77777777" w:rsidR="00D25FA9" w:rsidRDefault="00D25FA9" w:rsidP="003A640E">
      <w:pPr>
        <w:ind w:left="720"/>
        <w:rPr>
          <w:b/>
          <w:iCs/>
        </w:rPr>
      </w:pPr>
    </w:p>
    <w:p w14:paraId="2CB5A289" w14:textId="32016C83" w:rsidR="003A640E" w:rsidRPr="00F227D5" w:rsidRDefault="00BE3789" w:rsidP="00D25FA9">
      <w:pPr>
        <w:spacing w:after="0"/>
        <w:ind w:left="720"/>
        <w:rPr>
          <w:b/>
          <w:iCs/>
        </w:rPr>
      </w:pPr>
      <w:r>
        <w:rPr>
          <w:b/>
          <w:iCs/>
        </w:rPr>
        <w:lastRenderedPageBreak/>
        <w:t>EQUIPMENT LIST</w:t>
      </w:r>
    </w:p>
    <w:p w14:paraId="6703AE9C" w14:textId="3F6F583F" w:rsidR="003A640E" w:rsidRDefault="003A640E" w:rsidP="00927BDA">
      <w:pPr>
        <w:spacing w:after="0"/>
        <w:ind w:left="720"/>
        <w:rPr>
          <w:bCs/>
          <w:iCs/>
        </w:rPr>
      </w:pPr>
      <w:r>
        <w:rPr>
          <w:bCs/>
          <w:iCs/>
        </w:rPr>
        <w:t>SNRC</w:t>
      </w:r>
    </w:p>
    <w:p w14:paraId="2D992EA5" w14:textId="1CE5CF43" w:rsidR="003A640E" w:rsidRDefault="00F227D5" w:rsidP="003A640E">
      <w:pPr>
        <w:pStyle w:val="ListParagraph"/>
        <w:numPr>
          <w:ilvl w:val="0"/>
          <w:numId w:val="14"/>
        </w:numPr>
        <w:rPr>
          <w:bCs/>
          <w:iCs/>
        </w:rPr>
      </w:pPr>
      <w:r>
        <w:rPr>
          <w:bCs/>
          <w:iCs/>
        </w:rPr>
        <w:t xml:space="preserve">(1) </w:t>
      </w:r>
      <w:r w:rsidR="003A640E">
        <w:rPr>
          <w:bCs/>
          <w:iCs/>
        </w:rPr>
        <w:t xml:space="preserve">Tilt Skillet - </w:t>
      </w:r>
      <w:r w:rsidR="003A640E" w:rsidRPr="003A640E">
        <w:rPr>
          <w:bCs/>
          <w:iCs/>
        </w:rPr>
        <w:t>Cleveland Range Model No. SGL40T1NATHTPQS</w:t>
      </w:r>
    </w:p>
    <w:p w14:paraId="3B5845EA" w14:textId="785D692C" w:rsidR="00927BDA" w:rsidRDefault="00F227D5" w:rsidP="003A640E">
      <w:pPr>
        <w:pStyle w:val="ListParagraph"/>
        <w:numPr>
          <w:ilvl w:val="0"/>
          <w:numId w:val="14"/>
        </w:numPr>
        <w:rPr>
          <w:bCs/>
          <w:iCs/>
        </w:rPr>
      </w:pPr>
      <w:r>
        <w:rPr>
          <w:bCs/>
          <w:iCs/>
        </w:rPr>
        <w:t xml:space="preserve">(1) </w:t>
      </w:r>
      <w:r w:rsidR="00927BDA">
        <w:rPr>
          <w:bCs/>
          <w:iCs/>
        </w:rPr>
        <w:t xml:space="preserve">Combi Oven - </w:t>
      </w:r>
      <w:r w:rsidR="00927BDA" w:rsidRPr="00927BDA">
        <w:rPr>
          <w:bCs/>
          <w:iCs/>
        </w:rPr>
        <w:t>Alto‐Shaam Model No. CTP20‐20G</w:t>
      </w:r>
    </w:p>
    <w:p w14:paraId="16825350" w14:textId="010688FD" w:rsidR="00927BDA" w:rsidRPr="00927BDA" w:rsidRDefault="00F227D5" w:rsidP="00927BDA">
      <w:pPr>
        <w:pStyle w:val="ListParagraph"/>
        <w:numPr>
          <w:ilvl w:val="0"/>
          <w:numId w:val="14"/>
        </w:numPr>
        <w:rPr>
          <w:bCs/>
          <w:iCs/>
        </w:rPr>
      </w:pPr>
      <w:r>
        <w:rPr>
          <w:bCs/>
          <w:iCs/>
        </w:rPr>
        <w:t xml:space="preserve">(1) </w:t>
      </w:r>
      <w:r w:rsidR="00927BDA">
        <w:rPr>
          <w:bCs/>
          <w:iCs/>
        </w:rPr>
        <w:t xml:space="preserve">Convection Steamer - </w:t>
      </w:r>
      <w:r w:rsidR="00927BDA" w:rsidRPr="00927BDA">
        <w:rPr>
          <w:bCs/>
          <w:iCs/>
        </w:rPr>
        <w:t>Cleveland Range Model No. 24CGA10.2</w:t>
      </w:r>
    </w:p>
    <w:p w14:paraId="7575E0FC" w14:textId="557D410B" w:rsidR="00927BDA" w:rsidRDefault="00927BDA" w:rsidP="00D25FA9">
      <w:pPr>
        <w:spacing w:after="0"/>
        <w:ind w:firstLine="720"/>
        <w:rPr>
          <w:bCs/>
          <w:iCs/>
        </w:rPr>
      </w:pPr>
      <w:r>
        <w:rPr>
          <w:bCs/>
          <w:iCs/>
        </w:rPr>
        <w:t>SBCC</w:t>
      </w:r>
    </w:p>
    <w:p w14:paraId="602E7C44" w14:textId="46596AD7" w:rsidR="00927BDA" w:rsidRPr="00F227D5" w:rsidRDefault="00F227D5" w:rsidP="00F227D5">
      <w:pPr>
        <w:pStyle w:val="ListParagraph"/>
        <w:numPr>
          <w:ilvl w:val="0"/>
          <w:numId w:val="15"/>
        </w:numPr>
        <w:rPr>
          <w:bCs/>
          <w:iCs/>
        </w:rPr>
      </w:pPr>
      <w:r>
        <w:rPr>
          <w:bCs/>
          <w:iCs/>
        </w:rPr>
        <w:t xml:space="preserve">(2) </w:t>
      </w:r>
      <w:r w:rsidR="00927BDA">
        <w:rPr>
          <w:bCs/>
          <w:iCs/>
        </w:rPr>
        <w:t xml:space="preserve">Undercounter Dishwasher - </w:t>
      </w:r>
      <w:r w:rsidR="00927BDA" w:rsidRPr="00927BDA">
        <w:rPr>
          <w:bCs/>
          <w:iCs/>
        </w:rPr>
        <w:t>Hobart Model No. LXGNR‐2</w:t>
      </w:r>
    </w:p>
    <w:p w14:paraId="1F7F080F" w14:textId="221379A5" w:rsidR="00927BDA" w:rsidRDefault="00927BDA" w:rsidP="00F227D5">
      <w:pPr>
        <w:spacing w:after="0"/>
        <w:ind w:left="720"/>
        <w:rPr>
          <w:bCs/>
          <w:iCs/>
        </w:rPr>
      </w:pPr>
      <w:r>
        <w:rPr>
          <w:bCs/>
          <w:iCs/>
        </w:rPr>
        <w:t>SARC</w:t>
      </w:r>
    </w:p>
    <w:p w14:paraId="6E320424" w14:textId="326E750B" w:rsidR="00927BDA" w:rsidRPr="00A10604" w:rsidRDefault="00F227D5" w:rsidP="00A10604">
      <w:pPr>
        <w:pStyle w:val="ListParagraph"/>
        <w:numPr>
          <w:ilvl w:val="0"/>
          <w:numId w:val="15"/>
        </w:numPr>
        <w:rPr>
          <w:bCs/>
          <w:iCs/>
        </w:rPr>
      </w:pPr>
      <w:r>
        <w:rPr>
          <w:bCs/>
          <w:iCs/>
        </w:rPr>
        <w:t xml:space="preserve">(1) </w:t>
      </w:r>
      <w:r w:rsidR="00A10604">
        <w:rPr>
          <w:bCs/>
          <w:iCs/>
        </w:rPr>
        <w:t xml:space="preserve">Tilt Skillet - </w:t>
      </w:r>
      <w:r w:rsidR="00A10604" w:rsidRPr="003A640E">
        <w:rPr>
          <w:bCs/>
          <w:iCs/>
        </w:rPr>
        <w:t>Cleveland Range Model No. SGL40T1NATHTPQS</w:t>
      </w:r>
    </w:p>
    <w:p w14:paraId="09893663" w14:textId="2A8305A0" w:rsidR="00927BDA" w:rsidRDefault="00F227D5" w:rsidP="00927BDA">
      <w:pPr>
        <w:pStyle w:val="ListParagraph"/>
        <w:numPr>
          <w:ilvl w:val="0"/>
          <w:numId w:val="15"/>
        </w:numPr>
        <w:rPr>
          <w:bCs/>
          <w:iCs/>
        </w:rPr>
      </w:pPr>
      <w:r>
        <w:rPr>
          <w:bCs/>
          <w:iCs/>
        </w:rPr>
        <w:t xml:space="preserve">(1) </w:t>
      </w:r>
      <w:r w:rsidR="00927BDA">
        <w:rPr>
          <w:bCs/>
          <w:iCs/>
        </w:rPr>
        <w:t xml:space="preserve">Convection Oven - </w:t>
      </w:r>
      <w:proofErr w:type="spellStart"/>
      <w:r w:rsidR="00927BDA" w:rsidRPr="00927BDA">
        <w:rPr>
          <w:bCs/>
          <w:iCs/>
        </w:rPr>
        <w:t>Southbend</w:t>
      </w:r>
      <w:proofErr w:type="spellEnd"/>
      <w:r w:rsidR="00927BDA" w:rsidRPr="00927BDA">
        <w:rPr>
          <w:bCs/>
          <w:iCs/>
        </w:rPr>
        <w:t xml:space="preserve"> (</w:t>
      </w:r>
      <w:proofErr w:type="spellStart"/>
      <w:r w:rsidR="00927BDA" w:rsidRPr="00927BDA">
        <w:rPr>
          <w:bCs/>
          <w:iCs/>
        </w:rPr>
        <w:t>Middleby</w:t>
      </w:r>
      <w:proofErr w:type="spellEnd"/>
      <w:r w:rsidR="00927BDA" w:rsidRPr="00927BDA">
        <w:rPr>
          <w:bCs/>
          <w:iCs/>
        </w:rPr>
        <w:t>) Model No. PCG140S/SD</w:t>
      </w:r>
    </w:p>
    <w:p w14:paraId="11908277" w14:textId="2E05FCBF" w:rsidR="00A10604" w:rsidRDefault="00F227D5" w:rsidP="00A10604">
      <w:pPr>
        <w:pStyle w:val="ListParagraph"/>
        <w:numPr>
          <w:ilvl w:val="0"/>
          <w:numId w:val="15"/>
        </w:numPr>
        <w:rPr>
          <w:bCs/>
          <w:iCs/>
        </w:rPr>
      </w:pPr>
      <w:r>
        <w:rPr>
          <w:bCs/>
          <w:iCs/>
        </w:rPr>
        <w:t xml:space="preserve">(1) *optional* </w:t>
      </w:r>
      <w:r w:rsidR="00927BDA">
        <w:rPr>
          <w:bCs/>
          <w:iCs/>
        </w:rPr>
        <w:t xml:space="preserve">Pressure Fryer - </w:t>
      </w:r>
      <w:r w:rsidR="00927BDA" w:rsidRPr="00927BDA">
        <w:rPr>
          <w:bCs/>
          <w:iCs/>
        </w:rPr>
        <w:t>Broaster Model No. 2400 PRESSURE FRYER, GAS</w:t>
      </w:r>
    </w:p>
    <w:p w14:paraId="36BDFFD5" w14:textId="24E7CE38" w:rsidR="00F227D5" w:rsidRDefault="00F227D5" w:rsidP="00F227D5">
      <w:pPr>
        <w:pStyle w:val="ListParagraph"/>
        <w:numPr>
          <w:ilvl w:val="1"/>
          <w:numId w:val="15"/>
        </w:numPr>
        <w:rPr>
          <w:bCs/>
          <w:iCs/>
        </w:rPr>
      </w:pPr>
      <w:r>
        <w:rPr>
          <w:bCs/>
          <w:iCs/>
        </w:rPr>
        <w:t xml:space="preserve">This item may or may not be included in the final scope of work. </w:t>
      </w:r>
    </w:p>
    <w:p w14:paraId="7FA3FB35" w14:textId="4B8B5222" w:rsidR="00D25FA9" w:rsidRDefault="00BE3789" w:rsidP="00D25FA9">
      <w:pPr>
        <w:spacing w:after="0"/>
        <w:ind w:left="720"/>
      </w:pPr>
      <w:r>
        <w:rPr>
          <w:b/>
        </w:rPr>
        <w:t>SUBSTITUTE ITEMS</w:t>
      </w:r>
    </w:p>
    <w:p w14:paraId="03779B43" w14:textId="33D14DD7" w:rsidR="00D25FA9" w:rsidRDefault="00D25FA9" w:rsidP="00D25FA9">
      <w:pPr>
        <w:ind w:left="720"/>
      </w:pPr>
      <w:r>
        <w:t>Bids for alternate equipment will be accepted, but must be submitted in addition to the equipment listed. Substitute items must be submitted as a separate document.</w:t>
      </w:r>
    </w:p>
    <w:p w14:paraId="6496EA3B" w14:textId="3D4DF23F" w:rsidR="00E96538" w:rsidRDefault="00E96538" w:rsidP="004E1A12">
      <w:pPr>
        <w:pStyle w:val="Heading1"/>
      </w:pPr>
      <w:bookmarkStart w:id="5" w:name="_Toc223510284"/>
      <w:r>
        <w:t>RFP Administrative Information</w:t>
      </w:r>
      <w:bookmarkEnd w:id="5"/>
    </w:p>
    <w:p w14:paraId="0CA4C7A8" w14:textId="77777777" w:rsidR="00E96538" w:rsidRDefault="00E96538" w:rsidP="004E1A12">
      <w:pPr>
        <w:pStyle w:val="Heading2"/>
      </w:pPr>
      <w:bookmarkStart w:id="6" w:name="_Toc223510285"/>
      <w:r>
        <w:t>Contact Information</w:t>
      </w:r>
      <w:bookmarkEnd w:id="6"/>
    </w:p>
    <w:p w14:paraId="288C32ED" w14:textId="4625D7BA" w:rsidR="00E96538" w:rsidRPr="00CC3D40" w:rsidRDefault="00E96538" w:rsidP="004E1A12">
      <w:pPr>
        <w:spacing w:after="80"/>
        <w:ind w:left="1440"/>
        <w:jc w:val="both"/>
      </w:pPr>
      <w:r>
        <w:t>Please use the following name and email address for all correspondence with SGC concerning this RFP.</w:t>
      </w:r>
    </w:p>
    <w:p w14:paraId="258A7F19" w14:textId="277BCFEE" w:rsidR="00E96538" w:rsidRDefault="00DB61C3" w:rsidP="00B14D4C">
      <w:pPr>
        <w:spacing w:after="0"/>
        <w:ind w:left="720" w:firstLine="720"/>
      </w:pPr>
      <w:r>
        <w:rPr>
          <w:b/>
          <w:u w:val="single"/>
        </w:rPr>
        <w:t>Facilitator:</w:t>
      </w:r>
    </w:p>
    <w:p w14:paraId="4D3AA31F" w14:textId="36AF4E6D" w:rsidR="00E96538" w:rsidRDefault="00DB61C3" w:rsidP="00B14D4C">
      <w:pPr>
        <w:spacing w:after="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5F36EB">
        <w:rPr>
          <w:sz w:val="24"/>
          <w:szCs w:val="24"/>
        </w:rPr>
        <w:t>Matthew Crvelin, Buyer</w:t>
      </w:r>
    </w:p>
    <w:p w14:paraId="5D90A936" w14:textId="30310A31" w:rsidR="00E96538" w:rsidRPr="00456200" w:rsidRDefault="00E96538" w:rsidP="008E0C28">
      <w:pPr>
        <w:spacing w:after="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5F36EB">
        <w:rPr>
          <w:sz w:val="24"/>
          <w:szCs w:val="24"/>
        </w:rPr>
        <w:t>(716) 501-2190</w:t>
      </w:r>
    </w:p>
    <w:p w14:paraId="11B86B5D" w14:textId="7F1DADC7" w:rsidR="00E96538" w:rsidRPr="00456200" w:rsidRDefault="00E96538" w:rsidP="004E1A12">
      <w:pPr>
        <w:spacing w:after="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5F36EB">
        <w:rPr>
          <w:sz w:val="24"/>
          <w:szCs w:val="24"/>
        </w:rPr>
        <w:t>mcrvelin@senecacasinos.com</w:t>
      </w:r>
    </w:p>
    <w:p w14:paraId="6AFB9417" w14:textId="77777777" w:rsidR="00E96538" w:rsidRDefault="00E96538" w:rsidP="004E1A12">
      <w:pPr>
        <w:pStyle w:val="Heading2"/>
      </w:pPr>
      <w:bookmarkStart w:id="7" w:name="_Toc223510286"/>
      <w:r>
        <w:t>Schedule of Events</w:t>
      </w:r>
      <w:bookmarkEnd w:id="7"/>
    </w:p>
    <w:p w14:paraId="506D373B" w14:textId="468A247D" w:rsidR="00E96538" w:rsidRDefault="00E96538" w:rsidP="00B14D4C">
      <w:pPr>
        <w:spacing w:after="0"/>
        <w:ind w:left="1440" w:firstLine="720"/>
        <w:rPr>
          <w:sz w:val="24"/>
          <w:szCs w:val="24"/>
        </w:rPr>
      </w:pPr>
      <w:bookmarkStart w:id="8" w:name="_Hlk194058451"/>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6C53A6">
        <w:rPr>
          <w:sz w:val="24"/>
          <w:szCs w:val="24"/>
        </w:rPr>
        <w:t>3</w:t>
      </w:r>
      <w:r w:rsidR="00674BF5">
        <w:rPr>
          <w:sz w:val="24"/>
          <w:szCs w:val="24"/>
        </w:rPr>
        <w:t>/</w:t>
      </w:r>
      <w:r w:rsidR="00286FCE">
        <w:rPr>
          <w:sz w:val="24"/>
          <w:szCs w:val="24"/>
        </w:rPr>
        <w:t>4</w:t>
      </w:r>
      <w:r w:rsidR="00674BF5">
        <w:rPr>
          <w:sz w:val="24"/>
          <w:szCs w:val="24"/>
        </w:rPr>
        <w:t>/2</w:t>
      </w:r>
      <w:r w:rsidR="00720B3F">
        <w:rPr>
          <w:sz w:val="24"/>
          <w:szCs w:val="24"/>
        </w:rPr>
        <w:t>6</w:t>
      </w:r>
    </w:p>
    <w:p w14:paraId="7B2FB4C9" w14:textId="624D1BAF" w:rsidR="00AE4B06" w:rsidRDefault="00674BF5" w:rsidP="008E0C28">
      <w:pPr>
        <w:spacing w:after="0"/>
        <w:ind w:left="1440" w:firstLine="720"/>
        <w:rPr>
          <w:sz w:val="24"/>
          <w:szCs w:val="24"/>
        </w:rPr>
      </w:pPr>
      <w:r>
        <w:rPr>
          <w:sz w:val="24"/>
          <w:szCs w:val="24"/>
        </w:rPr>
        <w:t xml:space="preserve">Notice of </w:t>
      </w:r>
      <w:r w:rsidR="00AE4B06">
        <w:rPr>
          <w:sz w:val="24"/>
          <w:szCs w:val="24"/>
        </w:rPr>
        <w:t>Intent to Bid</w:t>
      </w:r>
      <w:r>
        <w:rPr>
          <w:sz w:val="24"/>
          <w:szCs w:val="24"/>
        </w:rPr>
        <w:t xml:space="preserve"> due</w:t>
      </w:r>
      <w:r w:rsidR="00AE4B06">
        <w:rPr>
          <w:sz w:val="24"/>
          <w:szCs w:val="24"/>
        </w:rPr>
        <w:t>:</w:t>
      </w:r>
      <w:r w:rsidR="00AE4B06">
        <w:rPr>
          <w:sz w:val="24"/>
          <w:szCs w:val="24"/>
        </w:rPr>
        <w:tab/>
      </w:r>
      <w:r w:rsidR="00AE4B06">
        <w:rPr>
          <w:sz w:val="24"/>
          <w:szCs w:val="24"/>
        </w:rPr>
        <w:tab/>
      </w:r>
      <w:r w:rsidR="00720B3F">
        <w:rPr>
          <w:sz w:val="24"/>
          <w:szCs w:val="24"/>
        </w:rPr>
        <w:t>3</w:t>
      </w:r>
      <w:r>
        <w:rPr>
          <w:sz w:val="24"/>
          <w:szCs w:val="24"/>
        </w:rPr>
        <w:t>/</w:t>
      </w:r>
      <w:r w:rsidR="00286FCE">
        <w:rPr>
          <w:sz w:val="24"/>
          <w:szCs w:val="24"/>
        </w:rPr>
        <w:t>6</w:t>
      </w:r>
      <w:r>
        <w:rPr>
          <w:sz w:val="24"/>
          <w:szCs w:val="24"/>
        </w:rPr>
        <w:t>/2</w:t>
      </w:r>
      <w:r w:rsidR="00720B3F">
        <w:rPr>
          <w:sz w:val="24"/>
          <w:szCs w:val="24"/>
        </w:rPr>
        <w:t>6</w:t>
      </w:r>
    </w:p>
    <w:p w14:paraId="08ECBC76" w14:textId="0A70B672" w:rsidR="00E96538" w:rsidRPr="00456200" w:rsidRDefault="00E96538" w:rsidP="008E0C28">
      <w:pPr>
        <w:spacing w:after="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720B3F">
        <w:rPr>
          <w:sz w:val="24"/>
          <w:szCs w:val="24"/>
        </w:rPr>
        <w:t>3</w:t>
      </w:r>
      <w:r w:rsidR="00674BF5">
        <w:rPr>
          <w:sz w:val="24"/>
          <w:szCs w:val="24"/>
        </w:rPr>
        <w:t>/</w:t>
      </w:r>
      <w:r w:rsidR="00286FCE">
        <w:rPr>
          <w:sz w:val="24"/>
          <w:szCs w:val="24"/>
        </w:rPr>
        <w:t>6</w:t>
      </w:r>
      <w:r w:rsidR="00674BF5">
        <w:rPr>
          <w:sz w:val="24"/>
          <w:szCs w:val="24"/>
        </w:rPr>
        <w:t>/2</w:t>
      </w:r>
      <w:r w:rsidR="00720B3F">
        <w:rPr>
          <w:sz w:val="24"/>
          <w:szCs w:val="24"/>
        </w:rPr>
        <w:t>6</w:t>
      </w:r>
    </w:p>
    <w:p w14:paraId="7D06AF2A" w14:textId="3A4B6546" w:rsidR="00E96538" w:rsidRDefault="00E96538" w:rsidP="004E1A12">
      <w:pPr>
        <w:spacing w:after="12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720B3F">
        <w:rPr>
          <w:b/>
          <w:sz w:val="24"/>
          <w:szCs w:val="24"/>
        </w:rPr>
        <w:t>3</w:t>
      </w:r>
      <w:r w:rsidR="00E94FAD">
        <w:rPr>
          <w:b/>
          <w:sz w:val="24"/>
          <w:szCs w:val="24"/>
        </w:rPr>
        <w:t>/</w:t>
      </w:r>
      <w:r w:rsidR="00286FCE">
        <w:rPr>
          <w:b/>
          <w:sz w:val="24"/>
          <w:szCs w:val="24"/>
        </w:rPr>
        <w:t>11</w:t>
      </w:r>
      <w:r w:rsidR="00E94FAD">
        <w:rPr>
          <w:b/>
          <w:sz w:val="24"/>
          <w:szCs w:val="24"/>
        </w:rPr>
        <w:t>/2</w:t>
      </w:r>
      <w:r w:rsidR="00674BF5">
        <w:rPr>
          <w:b/>
          <w:sz w:val="24"/>
          <w:szCs w:val="24"/>
        </w:rPr>
        <w:t>6</w:t>
      </w:r>
      <w:r w:rsidRPr="00AB31A0">
        <w:rPr>
          <w:b/>
          <w:sz w:val="24"/>
          <w:szCs w:val="24"/>
        </w:rPr>
        <w:t xml:space="preserve"> by 5:00 PM Eastern Time</w:t>
      </w:r>
    </w:p>
    <w:p w14:paraId="047AD639" w14:textId="77777777" w:rsidR="00E96538" w:rsidRDefault="00E96538" w:rsidP="00E96538">
      <w:pPr>
        <w:pStyle w:val="Heading2"/>
        <w:rPr>
          <w:rFonts w:eastAsia="Times New Roman"/>
        </w:rPr>
      </w:pPr>
      <w:bookmarkStart w:id="9" w:name="_Toc223510287"/>
      <w:bookmarkEnd w:id="8"/>
      <w:r>
        <w:rPr>
          <w:rFonts w:eastAsia="Times New Roman"/>
        </w:rPr>
        <w:t>Intent to Bid</w:t>
      </w:r>
      <w:bookmarkEnd w:id="9"/>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10" w:name="_Toc223510288"/>
      <w:r>
        <w:rPr>
          <w:rFonts w:eastAsia="Times New Roman"/>
        </w:rPr>
        <w:t xml:space="preserve">Bidder </w:t>
      </w:r>
      <w:r w:rsidRPr="00CC3D40">
        <w:rPr>
          <w:rFonts w:eastAsia="Times New Roman"/>
        </w:rPr>
        <w:t>Questions</w:t>
      </w:r>
      <w:bookmarkEnd w:id="10"/>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lastRenderedPageBreak/>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11" w:name="_Toc17728971"/>
      <w:bookmarkStart w:id="12" w:name="_Toc223510289"/>
      <w:r w:rsidRPr="00CC3D40">
        <w:rPr>
          <w:rFonts w:eastAsia="Times New Roman"/>
        </w:rPr>
        <w:t>Submission of Proposals</w:t>
      </w:r>
      <w:bookmarkEnd w:id="11"/>
      <w:bookmarkEnd w:id="12"/>
    </w:p>
    <w:p w14:paraId="015559A6" w14:textId="4C146F08"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BC6CF1">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13" w:name="_Toc17728972"/>
      <w:bookmarkStart w:id="14" w:name="_Toc223510290"/>
      <w:r w:rsidRPr="00EE18DD">
        <w:rPr>
          <w:rFonts w:eastAsia="Times New Roman"/>
        </w:rPr>
        <w:t>Proposal Format</w:t>
      </w:r>
      <w:bookmarkEnd w:id="13"/>
      <w:bookmarkEnd w:id="14"/>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69AAA6B" w14:textId="2DD10364" w:rsidR="00516EC6" w:rsidRDefault="00F43ED8" w:rsidP="00516EC6">
      <w:pPr>
        <w:spacing w:after="0"/>
        <w:ind w:left="1440"/>
      </w:pPr>
      <w:r>
        <w:t>Bidders must complete the attached excel workbook</w:t>
      </w:r>
      <w:r w:rsidR="00516EC6">
        <w:t>:</w:t>
      </w:r>
    </w:p>
    <w:p w14:paraId="23CD1CCD" w14:textId="7854C746" w:rsidR="00F43ED8" w:rsidRDefault="00E94FAD" w:rsidP="00516EC6">
      <w:pPr>
        <w:ind w:left="1440"/>
        <w:jc w:val="center"/>
      </w:pPr>
      <w:r w:rsidRPr="00E94FAD">
        <w:rPr>
          <w:rFonts w:cstheme="minorHAnsi"/>
          <w:b/>
          <w:color w:val="FF0000"/>
          <w:sz w:val="21"/>
          <w:szCs w:val="21"/>
        </w:rPr>
        <w:t>Exhibit A - #S</w:t>
      </w:r>
      <w:r w:rsidR="00720B3F">
        <w:rPr>
          <w:rFonts w:cstheme="minorHAnsi"/>
          <w:b/>
          <w:color w:val="FF0000"/>
          <w:sz w:val="21"/>
          <w:szCs w:val="21"/>
        </w:rPr>
        <w:t>GC</w:t>
      </w:r>
      <w:r w:rsidRPr="00E94FAD">
        <w:rPr>
          <w:rFonts w:cstheme="minorHAnsi"/>
          <w:b/>
          <w:color w:val="FF0000"/>
          <w:sz w:val="21"/>
          <w:szCs w:val="21"/>
        </w:rPr>
        <w:t>-00</w:t>
      </w:r>
      <w:r w:rsidR="00720B3F">
        <w:rPr>
          <w:rFonts w:cstheme="minorHAnsi"/>
          <w:b/>
          <w:color w:val="FF0000"/>
          <w:sz w:val="21"/>
          <w:szCs w:val="21"/>
        </w:rPr>
        <w:t>52</w:t>
      </w:r>
      <w:r w:rsidRPr="00E94FAD">
        <w:rPr>
          <w:rFonts w:cstheme="minorHAnsi"/>
          <w:b/>
          <w:color w:val="FF0000"/>
          <w:sz w:val="21"/>
          <w:szCs w:val="21"/>
        </w:rPr>
        <w:t>-2</w:t>
      </w:r>
      <w:r w:rsidR="00720B3F">
        <w:rPr>
          <w:rFonts w:cstheme="minorHAnsi"/>
          <w:b/>
          <w:color w:val="FF0000"/>
          <w:sz w:val="21"/>
          <w:szCs w:val="21"/>
        </w:rPr>
        <w:t>6</w:t>
      </w:r>
      <w:r w:rsidRPr="00E94FAD">
        <w:rPr>
          <w:rFonts w:cstheme="minorHAnsi"/>
          <w:b/>
          <w:color w:val="FF0000"/>
          <w:sz w:val="21"/>
          <w:szCs w:val="21"/>
        </w:rPr>
        <w:t xml:space="preserve">MC </w:t>
      </w:r>
      <w:r w:rsidR="00720B3F">
        <w:rPr>
          <w:rFonts w:cstheme="minorHAnsi"/>
          <w:b/>
          <w:color w:val="FF0000"/>
          <w:sz w:val="21"/>
          <w:szCs w:val="21"/>
        </w:rPr>
        <w:t xml:space="preserve">F&amp;B Kitchen </w:t>
      </w:r>
      <w:r w:rsidRPr="00E94FAD">
        <w:rPr>
          <w:rFonts w:cstheme="minorHAnsi"/>
          <w:b/>
          <w:color w:val="FF0000"/>
          <w:sz w:val="21"/>
          <w:szCs w:val="21"/>
        </w:rPr>
        <w:t>Equipment</w:t>
      </w:r>
    </w:p>
    <w:p w14:paraId="4460EE3E" w14:textId="204D139F"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Default="00143363" w:rsidP="00143363">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64B7B702" w14:textId="77777777" w:rsidR="00E00E8C" w:rsidRDefault="00E00E8C" w:rsidP="00143363">
      <w:pPr>
        <w:ind w:left="1440"/>
        <w:jc w:val="both"/>
        <w:rPr>
          <w:b/>
          <w:bCs/>
        </w:rPr>
      </w:pPr>
    </w:p>
    <w:p w14:paraId="55D8F118" w14:textId="412C8A05" w:rsidR="00143363" w:rsidRPr="00911476" w:rsidRDefault="00143363" w:rsidP="00143363">
      <w:pPr>
        <w:ind w:left="1440"/>
        <w:jc w:val="both"/>
        <w:rPr>
          <w:b/>
          <w:bCs/>
        </w:rPr>
      </w:pPr>
      <w:r w:rsidRPr="00911476">
        <w:rPr>
          <w:b/>
          <w:bCs/>
        </w:rPr>
        <w:lastRenderedPageBreak/>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8E0C28">
      <w:pPr>
        <w:spacing w:after="0"/>
        <w:ind w:left="1440"/>
        <w:jc w:val="both"/>
      </w:pPr>
      <w:r>
        <w:t>Seneca Gaming Corporation</w:t>
      </w:r>
    </w:p>
    <w:p w14:paraId="0494335A" w14:textId="77777777" w:rsidR="00143363" w:rsidRDefault="00143363" w:rsidP="008E0C28">
      <w:pPr>
        <w:spacing w:after="0"/>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p w14:paraId="4A7E9D93" w14:textId="77777777" w:rsidR="00143363" w:rsidRPr="00FB7F88" w:rsidRDefault="00143363" w:rsidP="00143363">
      <w:pPr>
        <w:spacing w:after="120"/>
        <w:ind w:left="720" w:firstLine="720"/>
        <w:rPr>
          <w:u w:val="single"/>
        </w:rPr>
      </w:pPr>
      <w:r w:rsidRPr="00FB7F88">
        <w:rPr>
          <w:u w:val="single"/>
        </w:rPr>
        <w:t>Appendix-B:  Standard Agreements</w:t>
      </w:r>
    </w:p>
    <w:p w14:paraId="4253793B" w14:textId="632903DB" w:rsidR="00143363" w:rsidRPr="008012E2" w:rsidRDefault="00143363" w:rsidP="00E94FAD">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3A4C877" w14:textId="77777777" w:rsidR="00911476" w:rsidRDefault="00911476" w:rsidP="00911476">
      <w:pPr>
        <w:pStyle w:val="Heading2"/>
        <w:rPr>
          <w:rFonts w:eastAsia="Times New Roman"/>
        </w:rPr>
      </w:pPr>
      <w:bookmarkStart w:id="15" w:name="_Toc186803474"/>
      <w:bookmarkStart w:id="16" w:name="_Toc223510291"/>
      <w:r>
        <w:rPr>
          <w:rFonts w:eastAsia="Times New Roman"/>
        </w:rPr>
        <w:t>Conditions</w:t>
      </w:r>
      <w:bookmarkEnd w:id="15"/>
      <w:bookmarkEnd w:id="16"/>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8E0C28">
      <w:pPr>
        <w:spacing w:after="0"/>
      </w:pPr>
      <w:r>
        <w:tab/>
      </w:r>
      <w:r>
        <w:tab/>
        <w:t>By participating in this RFP:</w:t>
      </w:r>
    </w:p>
    <w:p w14:paraId="50B93C41" w14:textId="77777777" w:rsidR="00911476" w:rsidRDefault="00911476" w:rsidP="00911476">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lastRenderedPageBreak/>
        <w:tab/>
      </w:r>
      <w:r>
        <w:tab/>
        <w:t>All responses to the RFP become the property of SGC.</w:t>
      </w:r>
    </w:p>
    <w:p w14:paraId="6956EF26" w14:textId="3BE2AA2D" w:rsidR="00E96538" w:rsidRPr="00325DC1" w:rsidRDefault="00E96538" w:rsidP="00E96538">
      <w:pPr>
        <w:pStyle w:val="Heading2"/>
        <w:rPr>
          <w:rFonts w:eastAsia="Times New Roman"/>
        </w:rPr>
      </w:pPr>
      <w:bookmarkStart w:id="17" w:name="_Toc223510292"/>
      <w:r w:rsidRPr="00325DC1">
        <w:rPr>
          <w:rFonts w:eastAsia="Times New Roman"/>
        </w:rPr>
        <w:t>Propo</w:t>
      </w:r>
      <w:r>
        <w:rPr>
          <w:rFonts w:eastAsia="Times New Roman"/>
        </w:rPr>
        <w:t>sal Evaluation/Vendor Selection</w:t>
      </w:r>
      <w:bookmarkEnd w:id="17"/>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18" w:name="_Toc223510293"/>
      <w:r>
        <w:rPr>
          <w:rFonts w:eastAsia="Times New Roman"/>
        </w:rPr>
        <w:t>General Bidder Information</w:t>
      </w:r>
      <w:bookmarkEnd w:id="18"/>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lastRenderedPageBreak/>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19" w:name="_Toc223510294"/>
      <w:r w:rsidRPr="00961C9F">
        <w:rPr>
          <w:rFonts w:eastAsia="Times New Roman"/>
        </w:rPr>
        <w:t>SGC Standard Terms and Conditions</w:t>
      </w:r>
      <w:bookmarkEnd w:id="19"/>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06D0179" w14:textId="24601592" w:rsidR="00E96538" w:rsidRPr="00D059D0" w:rsidRDefault="00E96538" w:rsidP="00E96538">
      <w:pPr>
        <w:pStyle w:val="Heading1"/>
        <w:rPr>
          <w:rFonts w:eastAsia="Times New Roman"/>
        </w:rPr>
      </w:pPr>
      <w:bookmarkStart w:id="20" w:name="_Toc223510295"/>
      <w:r w:rsidRPr="00D059D0">
        <w:rPr>
          <w:rFonts w:eastAsia="Times New Roman"/>
        </w:rPr>
        <w:t>Provisions Applicable to the Contract</w:t>
      </w:r>
      <w:bookmarkEnd w:id="20"/>
    </w:p>
    <w:p w14:paraId="64D79E70" w14:textId="77777777" w:rsidR="00E96538" w:rsidRPr="00342236" w:rsidRDefault="00E96538" w:rsidP="00E96538">
      <w:pPr>
        <w:pStyle w:val="Heading2"/>
        <w:rPr>
          <w:rFonts w:eastAsia="Times New Roman"/>
        </w:rPr>
      </w:pPr>
      <w:bookmarkStart w:id="21" w:name="_Toc223510296"/>
      <w:r w:rsidRPr="00342236">
        <w:rPr>
          <w:rFonts w:eastAsia="Times New Roman"/>
        </w:rPr>
        <w:t>Pricing and Payment Terms</w:t>
      </w:r>
      <w:bookmarkEnd w:id="21"/>
    </w:p>
    <w:p w14:paraId="570AED54" w14:textId="3907B9E9" w:rsidR="00E96538" w:rsidRPr="00574363" w:rsidRDefault="00E96538" w:rsidP="00574363">
      <w:pPr>
        <w:ind w:left="720" w:firstLine="720"/>
      </w:pPr>
      <w:r w:rsidRPr="00961C9F">
        <w:t xml:space="preserve">Please provide your most competitive pricing and any additional offers. </w:t>
      </w:r>
    </w:p>
    <w:p w14:paraId="4D0E46D5" w14:textId="77777777" w:rsidR="00E96538" w:rsidRPr="00961C9F" w:rsidRDefault="00E96538" w:rsidP="00E96538">
      <w:pPr>
        <w:pStyle w:val="Heading2"/>
        <w:rPr>
          <w:rFonts w:eastAsia="Times New Roman"/>
        </w:rPr>
      </w:pPr>
      <w:bookmarkStart w:id="22" w:name="_Toc223510297"/>
      <w:r w:rsidRPr="00961C9F">
        <w:rPr>
          <w:rFonts w:eastAsia="Times New Roman"/>
        </w:rPr>
        <w:t>Tax Exempt Status</w:t>
      </w:r>
      <w:bookmarkEnd w:id="22"/>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23" w:name="_Toc223510298"/>
      <w:r w:rsidRPr="00961C9F">
        <w:rPr>
          <w:rFonts w:eastAsia="Times New Roman"/>
        </w:rPr>
        <w:t>Payment Terms</w:t>
      </w:r>
      <w:bookmarkEnd w:id="23"/>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24" w:name="_Toc223510299"/>
      <w:r>
        <w:rPr>
          <w:rFonts w:eastAsia="Times New Roman"/>
        </w:rPr>
        <w:t>Supplemental Bidder Information</w:t>
      </w:r>
      <w:bookmarkEnd w:id="24"/>
    </w:p>
    <w:p w14:paraId="2F17EE1B" w14:textId="77777777" w:rsidR="00E96538" w:rsidRPr="00961C9F" w:rsidRDefault="00E96538" w:rsidP="00E96538">
      <w:pPr>
        <w:pStyle w:val="Heading2"/>
        <w:rPr>
          <w:rFonts w:eastAsia="Times New Roman"/>
        </w:rPr>
      </w:pPr>
      <w:bookmarkStart w:id="25" w:name="_Toc223510300"/>
      <w:r w:rsidRPr="00961C9F">
        <w:rPr>
          <w:rFonts w:eastAsia="Times New Roman"/>
        </w:rPr>
        <w:t>Conformity of Proposal with SGC Requirements</w:t>
      </w:r>
      <w:bookmarkEnd w:id="25"/>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26" w:name="_Toc223510301"/>
      <w:r w:rsidRPr="00961C9F">
        <w:rPr>
          <w:rFonts w:eastAsia="Times New Roman"/>
        </w:rPr>
        <w:lastRenderedPageBreak/>
        <w:t>Vendor Requirements</w:t>
      </w:r>
      <w:bookmarkEnd w:id="26"/>
    </w:p>
    <w:p w14:paraId="23762B08" w14:textId="77777777" w:rsidR="00E96538" w:rsidRPr="00961C9F" w:rsidRDefault="00E96538" w:rsidP="00E96538">
      <w:pPr>
        <w:pStyle w:val="Heading2"/>
        <w:rPr>
          <w:rFonts w:eastAsia="Times New Roman"/>
        </w:rPr>
      </w:pPr>
      <w:bookmarkStart w:id="27" w:name="_Toc223510302"/>
      <w:r w:rsidRPr="00961C9F">
        <w:rPr>
          <w:rFonts w:eastAsia="Times New Roman"/>
        </w:rPr>
        <w:t>Proposal</w:t>
      </w:r>
      <w:bookmarkEnd w:id="27"/>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4D5879A" w14:textId="77777777" w:rsidR="00E96538" w:rsidRPr="00961C9F" w:rsidRDefault="00E96538" w:rsidP="00E96538">
      <w:pPr>
        <w:pStyle w:val="Heading2"/>
        <w:rPr>
          <w:rFonts w:eastAsia="Times New Roman"/>
        </w:rPr>
      </w:pPr>
      <w:bookmarkStart w:id="28" w:name="_Toc223510303"/>
      <w:r w:rsidRPr="00961C9F">
        <w:rPr>
          <w:rFonts w:eastAsia="Times New Roman"/>
        </w:rPr>
        <w:t>Standard Supply Agreement</w:t>
      </w:r>
      <w:bookmarkEnd w:id="28"/>
    </w:p>
    <w:p w14:paraId="1EC00932" w14:textId="58BE5935" w:rsidR="00E96538" w:rsidRPr="008E0C28" w:rsidRDefault="00E96538" w:rsidP="00E96538">
      <w:pPr>
        <w:autoSpaceDE w:val="0"/>
        <w:autoSpaceDN w:val="0"/>
        <w:adjustRightInd w:val="0"/>
        <w:spacing w:after="120" w:line="240" w:lineRule="auto"/>
        <w:ind w:left="1440"/>
        <w:jc w:val="both"/>
        <w:rPr>
          <w:rFonts w:eastAsia="Times New Roman" w:cstheme="minorHAnsi"/>
          <w:sz w:val="24"/>
          <w:szCs w:val="24"/>
        </w:rPr>
      </w:pPr>
      <w:r w:rsidRPr="008E0C28">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Default="00D72C9A" w:rsidP="00D72C9A">
      <w:pPr>
        <w:pStyle w:val="Heading2"/>
        <w:rPr>
          <w:rFonts w:eastAsia="Times New Roman"/>
        </w:rPr>
      </w:pPr>
      <w:bookmarkStart w:id="29" w:name="_Toc223510304"/>
      <w:r>
        <w:rPr>
          <w:rFonts w:eastAsia="Times New Roman"/>
        </w:rPr>
        <w:t>Seneca Nation Business Registration Fee (SNIBRF)</w:t>
      </w:r>
      <w:bookmarkEnd w:id="29"/>
    </w:p>
    <w:p w14:paraId="7CD7B6C9" w14:textId="27B38240" w:rsidR="00E96538" w:rsidRPr="00714976" w:rsidRDefault="00D72C9A" w:rsidP="00714976">
      <w:pPr>
        <w:rPr>
          <w:rFonts w:eastAsia="Times New Roman" w:cstheme="minorHAnsi"/>
          <w:color w:val="FF0000"/>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r w:rsidR="00E96538">
        <w:rPr>
          <w:rFonts w:eastAsia="Times New Roman"/>
        </w:rPr>
        <w:br w:type="page"/>
      </w:r>
    </w:p>
    <w:p w14:paraId="7A8C4336" w14:textId="77777777" w:rsidR="00E96538" w:rsidRDefault="00E96538" w:rsidP="00E96538">
      <w:pPr>
        <w:pStyle w:val="Heading1"/>
        <w:rPr>
          <w:rFonts w:eastAsia="Times New Roman"/>
        </w:rPr>
      </w:pPr>
      <w:bookmarkStart w:id="30" w:name="_Toc223510305"/>
      <w:r>
        <w:rPr>
          <w:rFonts w:eastAsia="Times New Roman"/>
        </w:rPr>
        <w:lastRenderedPageBreak/>
        <w:t xml:space="preserve">Bidder </w:t>
      </w:r>
      <w:r w:rsidRPr="0034489C">
        <w:rPr>
          <w:rFonts w:eastAsia="Times New Roman"/>
        </w:rPr>
        <w:t>Cert</w:t>
      </w:r>
      <w:r>
        <w:rPr>
          <w:rFonts w:eastAsia="Times New Roman"/>
        </w:rPr>
        <w:t>ifications and Representations</w:t>
      </w:r>
      <w:bookmarkEnd w:id="30"/>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EFF0" w14:textId="77777777" w:rsidR="00B21D83" w:rsidRDefault="00B21D83">
      <w:pPr>
        <w:spacing w:after="0" w:line="240" w:lineRule="auto"/>
      </w:pPr>
      <w:r>
        <w:separator/>
      </w:r>
    </w:p>
  </w:endnote>
  <w:endnote w:type="continuationSeparator" w:id="0">
    <w:p w14:paraId="573E9CCD" w14:textId="77777777" w:rsidR="00B21D83" w:rsidRDefault="00B2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0981" w14:textId="77777777" w:rsidR="00B21D83" w:rsidRDefault="00B21D83">
      <w:pPr>
        <w:spacing w:after="0" w:line="240" w:lineRule="auto"/>
      </w:pPr>
      <w:r>
        <w:separator/>
      </w:r>
    </w:p>
  </w:footnote>
  <w:footnote w:type="continuationSeparator" w:id="0">
    <w:p w14:paraId="46DC70E6" w14:textId="77777777" w:rsidR="00B21D83" w:rsidRDefault="00B2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2B7414"/>
    <w:multiLevelType w:val="hybridMultilevel"/>
    <w:tmpl w:val="41502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F511B"/>
    <w:multiLevelType w:val="hybridMultilevel"/>
    <w:tmpl w:val="C664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A14027"/>
    <w:multiLevelType w:val="hybridMultilevel"/>
    <w:tmpl w:val="FF7CC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934D2"/>
    <w:multiLevelType w:val="hybridMultilevel"/>
    <w:tmpl w:val="5358C9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84034"/>
    <w:multiLevelType w:val="hybridMultilevel"/>
    <w:tmpl w:val="9FDC45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60F13E33"/>
    <w:multiLevelType w:val="hybridMultilevel"/>
    <w:tmpl w:val="C1EE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E427B"/>
    <w:multiLevelType w:val="hybridMultilevel"/>
    <w:tmpl w:val="736C7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11737"/>
    <w:multiLevelType w:val="hybridMultilevel"/>
    <w:tmpl w:val="AAE0F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8A1C2D"/>
    <w:multiLevelType w:val="hybridMultilevel"/>
    <w:tmpl w:val="5EE4C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8"/>
  </w:num>
  <w:num w:numId="3">
    <w:abstractNumId w:val="7"/>
  </w:num>
  <w:num w:numId="4">
    <w:abstractNumId w:val="10"/>
  </w:num>
  <w:num w:numId="5">
    <w:abstractNumId w:val="9"/>
  </w:num>
  <w:num w:numId="6">
    <w:abstractNumId w:val="0"/>
  </w:num>
  <w:num w:numId="7">
    <w:abstractNumId w:val="12"/>
  </w:num>
  <w:num w:numId="8">
    <w:abstractNumId w:val="3"/>
  </w:num>
  <w:num w:numId="9">
    <w:abstractNumId w:val="4"/>
  </w:num>
  <w:num w:numId="10">
    <w:abstractNumId w:val="6"/>
  </w:num>
  <w:num w:numId="11">
    <w:abstractNumId w:val="17"/>
  </w:num>
  <w:num w:numId="12">
    <w:abstractNumId w:val="16"/>
  </w:num>
  <w:num w:numId="13">
    <w:abstractNumId w:val="2"/>
  </w:num>
  <w:num w:numId="14">
    <w:abstractNumId w:val="15"/>
  </w:num>
  <w:num w:numId="15">
    <w:abstractNumId w:val="5"/>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33F7"/>
    <w:rsid w:val="000C5982"/>
    <w:rsid w:val="001363D7"/>
    <w:rsid w:val="00143363"/>
    <w:rsid w:val="0014705A"/>
    <w:rsid w:val="001545F5"/>
    <w:rsid w:val="0020319F"/>
    <w:rsid w:val="0023713C"/>
    <w:rsid w:val="00237E51"/>
    <w:rsid w:val="0026346D"/>
    <w:rsid w:val="00286FCE"/>
    <w:rsid w:val="002A21A5"/>
    <w:rsid w:val="003401B6"/>
    <w:rsid w:val="003A044A"/>
    <w:rsid w:val="003A2DB7"/>
    <w:rsid w:val="003A640E"/>
    <w:rsid w:val="003A7F2D"/>
    <w:rsid w:val="003E25F2"/>
    <w:rsid w:val="00456E00"/>
    <w:rsid w:val="00457F12"/>
    <w:rsid w:val="00470E46"/>
    <w:rsid w:val="00491CC7"/>
    <w:rsid w:val="004A5E35"/>
    <w:rsid w:val="004D32F5"/>
    <w:rsid w:val="004E1A12"/>
    <w:rsid w:val="004F2163"/>
    <w:rsid w:val="00516EC6"/>
    <w:rsid w:val="00574363"/>
    <w:rsid w:val="005D0359"/>
    <w:rsid w:val="005F36EB"/>
    <w:rsid w:val="00632A04"/>
    <w:rsid w:val="00674BF5"/>
    <w:rsid w:val="006A381D"/>
    <w:rsid w:val="006A7F0E"/>
    <w:rsid w:val="006C53A6"/>
    <w:rsid w:val="00714976"/>
    <w:rsid w:val="00720B3F"/>
    <w:rsid w:val="00744146"/>
    <w:rsid w:val="0077626A"/>
    <w:rsid w:val="00797264"/>
    <w:rsid w:val="007B1204"/>
    <w:rsid w:val="007F2BB7"/>
    <w:rsid w:val="007F794E"/>
    <w:rsid w:val="00806F87"/>
    <w:rsid w:val="008256B1"/>
    <w:rsid w:val="00834241"/>
    <w:rsid w:val="0083483D"/>
    <w:rsid w:val="0087097B"/>
    <w:rsid w:val="008A7545"/>
    <w:rsid w:val="008D786A"/>
    <w:rsid w:val="008E0C28"/>
    <w:rsid w:val="008E13E3"/>
    <w:rsid w:val="00911476"/>
    <w:rsid w:val="00927BDA"/>
    <w:rsid w:val="009367F7"/>
    <w:rsid w:val="00941F71"/>
    <w:rsid w:val="009472A9"/>
    <w:rsid w:val="009D2301"/>
    <w:rsid w:val="009D2F2D"/>
    <w:rsid w:val="00A10604"/>
    <w:rsid w:val="00A40451"/>
    <w:rsid w:val="00A66CA8"/>
    <w:rsid w:val="00A76945"/>
    <w:rsid w:val="00AE4B06"/>
    <w:rsid w:val="00B04250"/>
    <w:rsid w:val="00B11B9F"/>
    <w:rsid w:val="00B14D4C"/>
    <w:rsid w:val="00B21D83"/>
    <w:rsid w:val="00BA3933"/>
    <w:rsid w:val="00BC6CF1"/>
    <w:rsid w:val="00BD282F"/>
    <w:rsid w:val="00BE3789"/>
    <w:rsid w:val="00BF6A37"/>
    <w:rsid w:val="00C60AFF"/>
    <w:rsid w:val="00C8295C"/>
    <w:rsid w:val="00D20F91"/>
    <w:rsid w:val="00D25FA9"/>
    <w:rsid w:val="00D72C9A"/>
    <w:rsid w:val="00D869D6"/>
    <w:rsid w:val="00D95929"/>
    <w:rsid w:val="00DB61C3"/>
    <w:rsid w:val="00DC030D"/>
    <w:rsid w:val="00DD7B46"/>
    <w:rsid w:val="00DE5ED2"/>
    <w:rsid w:val="00E00E8C"/>
    <w:rsid w:val="00E46A94"/>
    <w:rsid w:val="00E62F7F"/>
    <w:rsid w:val="00E94FAD"/>
    <w:rsid w:val="00E96538"/>
    <w:rsid w:val="00EE6F09"/>
    <w:rsid w:val="00F13F2D"/>
    <w:rsid w:val="00F16900"/>
    <w:rsid w:val="00F227D5"/>
    <w:rsid w:val="00F43ED8"/>
    <w:rsid w:val="00F75F30"/>
    <w:rsid w:val="00FB5DC4"/>
    <w:rsid w:val="00FC1D4E"/>
    <w:rsid w:val="00FF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paragraph" w:styleId="Header">
    <w:name w:val="header"/>
    <w:basedOn w:val="Normal"/>
    <w:link w:val="HeaderChar"/>
    <w:uiPriority w:val="99"/>
    <w:unhideWhenUsed/>
    <w:rsid w:val="00FB5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54505417">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C345-444F-46B7-845B-63F1BDE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10</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Matt Crvelin</cp:lastModifiedBy>
  <cp:revision>36</cp:revision>
  <dcterms:created xsi:type="dcterms:W3CDTF">2025-03-26T19:39:00Z</dcterms:created>
  <dcterms:modified xsi:type="dcterms:W3CDTF">2026-03-04T15:49:00Z</dcterms:modified>
</cp:coreProperties>
</file>