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4050418"/>
        <w:docPartObj>
          <w:docPartGallery w:val="Cover Pages"/>
          <w:docPartUnique/>
        </w:docPartObj>
      </w:sdtPr>
      <w:sdtEndPr/>
      <w:sdtContent>
        <w:p w14:paraId="5E59665E" w14:textId="77777777" w:rsidR="00E96538" w:rsidRDefault="00E96538" w:rsidP="001901EF">
          <w:pPr>
            <w:pStyle w:val="NoSpacing"/>
          </w:pPr>
        </w:p>
        <w:p w14:paraId="26B90FE6" w14:textId="77777777" w:rsidR="00E96538" w:rsidRDefault="00E96538" w:rsidP="00E96538">
          <w:r>
            <w:rPr>
              <w:noProof/>
            </w:rPr>
            <mc:AlternateContent>
              <mc:Choice Requires="wps">
                <w:drawing>
                  <wp:anchor distT="91440" distB="91440" distL="114300" distR="114300" simplePos="0" relativeHeight="251661312" behindDoc="0" locked="0" layoutInCell="1" allowOverlap="1" wp14:anchorId="7A2FC2B0" wp14:editId="154CC4CA">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14:paraId="42B35ED0" w14:textId="77777777" w:rsidR="008C6A0B" w:rsidRPr="00D034EB" w:rsidRDefault="008C6A0B"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76492913" w14:textId="77777777" w:rsidR="008C6A0B" w:rsidRPr="00F75BD1" w:rsidRDefault="008C6A0B"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FC2B0"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14:paraId="42B35ED0" w14:textId="77777777" w:rsidR="008C6A0B" w:rsidRPr="00D034EB" w:rsidRDefault="008C6A0B"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14:paraId="76492913" w14:textId="77777777" w:rsidR="008C6A0B" w:rsidRPr="00F75BD1" w:rsidRDefault="008C6A0B"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14:paraId="24A3A5AD" w14:textId="77777777" w:rsidR="00E96538" w:rsidRDefault="00E96538" w:rsidP="00E96538"/>
        <w:p w14:paraId="35179D63" w14:textId="77777777" w:rsidR="00E96538" w:rsidRDefault="00E96538" w:rsidP="00E96538">
          <w:r>
            <w:rPr>
              <w:noProof/>
            </w:rPr>
            <mc:AlternateContent>
              <mc:Choice Requires="wpg">
                <w:drawing>
                  <wp:anchor distT="0" distB="0" distL="114300" distR="114300" simplePos="0" relativeHeight="251660288" behindDoc="0" locked="0" layoutInCell="1" allowOverlap="1" wp14:anchorId="3D262DC2" wp14:editId="7CB6440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5FDBA00" w14:textId="77777777"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775D284B" wp14:editId="4BDFBE68">
                    <wp:simplePos x="0" y="0"/>
                    <wp:positionH relativeFrom="page">
                      <wp:posOffset>488950</wp:posOffset>
                    </wp:positionH>
                    <wp:positionV relativeFrom="page">
                      <wp:posOffset>5645150</wp:posOffset>
                    </wp:positionV>
                    <wp:extent cx="7321550" cy="17272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321550" cy="1727200"/>
                            </a:xfrm>
                            <a:prstGeom prst="rect">
                              <a:avLst/>
                            </a:prstGeom>
                            <a:noFill/>
                            <a:ln w="6350">
                              <a:noFill/>
                            </a:ln>
                            <a:effectLst/>
                          </wps:spPr>
                          <wps:txbx>
                            <w:txbxContent>
                              <w:p w14:paraId="1E7ACA85" w14:textId="482319C7" w:rsidR="008C6A0B" w:rsidRPr="005F1D98" w:rsidRDefault="008C6A0B" w:rsidP="008319F9">
                                <w:pPr>
                                  <w:pStyle w:val="NoSpacing"/>
                                  <w:ind w:left="450"/>
                                  <w:jc w:val="right"/>
                                  <w:rPr>
                                    <w:color w:val="5B9BD5" w:themeColor="accent1"/>
                                    <w:sz w:val="48"/>
                                    <w:szCs w:val="48"/>
                                  </w:rPr>
                                </w:pPr>
                                <w:r>
                                  <w:rPr>
                                    <w:color w:val="595959" w:themeColor="text1" w:themeTint="A6"/>
                                    <w:sz w:val="44"/>
                                    <w:szCs w:val="44"/>
                                  </w:rPr>
                                  <w:t xml:space="preserve">                                           </w:t>
                                </w:r>
                                <w:r w:rsidR="000079BC">
                                  <w:rPr>
                                    <w:color w:val="595959" w:themeColor="text1" w:themeTint="A6"/>
                                    <w:sz w:val="44"/>
                                    <w:szCs w:val="44"/>
                                  </w:rPr>
                                  <w:t xml:space="preserve">                           </w:t>
                                </w:r>
                                <w:r w:rsidRPr="005F1D98">
                                  <w:rPr>
                                    <w:color w:val="5B9BD5" w:themeColor="accent1"/>
                                    <w:sz w:val="48"/>
                                    <w:szCs w:val="48"/>
                                  </w:rPr>
                                  <w:t>LEGAL COUNSEL for</w:t>
                                </w:r>
                              </w:p>
                              <w:p w14:paraId="44A4D936" w14:textId="0A383A16" w:rsidR="008C6A0B" w:rsidRPr="005F1D98" w:rsidRDefault="008C6A0B" w:rsidP="008319F9">
                                <w:pPr>
                                  <w:pStyle w:val="NoSpacing"/>
                                  <w:ind w:left="-1710"/>
                                  <w:jc w:val="right"/>
                                  <w:rPr>
                                    <w:color w:val="5B9BD5" w:themeColor="accent1"/>
                                    <w:sz w:val="48"/>
                                    <w:szCs w:val="48"/>
                                    <w:highlight w:val="blue"/>
                                  </w:rPr>
                                </w:pPr>
                                <w:r w:rsidRPr="005F1D98">
                                  <w:rPr>
                                    <w:color w:val="5B9BD5" w:themeColor="accent1"/>
                                    <w:sz w:val="48"/>
                                    <w:szCs w:val="48"/>
                                  </w:rPr>
                                  <w:t xml:space="preserve">NYS LIQUOR LICENSING MATTERS  </w:t>
                                </w:r>
                              </w:p>
                              <w:p w14:paraId="032DB647" w14:textId="77777777" w:rsidR="008C6A0B" w:rsidRPr="005F1D98" w:rsidRDefault="008C6A0B" w:rsidP="00141CA3">
                                <w:pPr>
                                  <w:pStyle w:val="NoSpacing"/>
                                  <w:rPr>
                                    <w:color w:val="5B9BD5" w:themeColor="accent1"/>
                                    <w:sz w:val="48"/>
                                    <w:szCs w:val="48"/>
                                  </w:rPr>
                                </w:pPr>
                                <w:r w:rsidRPr="005F1D98">
                                  <w:rPr>
                                    <w:color w:val="5B9BD5" w:themeColor="accent1"/>
                                    <w:sz w:val="48"/>
                                    <w:szCs w:val="48"/>
                                  </w:rPr>
                                  <w:t xml:space="preserve">       </w:t>
                                </w:r>
                                <w:r w:rsidRPr="005F1D98">
                                  <w:rPr>
                                    <w:color w:val="5B9BD5" w:themeColor="accent1"/>
                                    <w:sz w:val="48"/>
                                    <w:szCs w:val="48"/>
                                  </w:rPr>
                                  <w:tab/>
                                </w:r>
                                <w:r w:rsidRPr="005F1D98">
                                  <w:rPr>
                                    <w:color w:val="5B9BD5" w:themeColor="accent1"/>
                                    <w:sz w:val="48"/>
                                    <w:szCs w:val="48"/>
                                  </w:rPr>
                                  <w:tab/>
                                </w:r>
                                <w:r w:rsidRPr="005F1D98">
                                  <w:rPr>
                                    <w:color w:val="5B9BD5" w:themeColor="accent1"/>
                                    <w:sz w:val="48"/>
                                    <w:szCs w:val="48"/>
                                  </w:rPr>
                                  <w:tab/>
                                </w:r>
                                <w:r w:rsidRPr="005F1D98">
                                  <w:rPr>
                                    <w:color w:val="5B9BD5" w:themeColor="accent1"/>
                                    <w:sz w:val="48"/>
                                    <w:szCs w:val="48"/>
                                  </w:rPr>
                                  <w:tab/>
                                  <w:t xml:space="preserve">    RFP SGC-0048-22JR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D284B" id="_x0000_s1027" type="#_x0000_t202" style="position:absolute;left:0;text-align:left;margin-left:38.5pt;margin-top:444.5pt;width:576.5pt;height:1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" filled="f" stroked="f" strokeweight=".5pt">
                    <v:textbox inset="126pt,0,54pt,0">
                      <w:txbxContent>
                        <w:p w14:paraId="1E7ACA85" w14:textId="482319C7" w:rsidR="008C6A0B" w:rsidRPr="005F1D98" w:rsidRDefault="008C6A0B" w:rsidP="008319F9">
                          <w:pPr>
                            <w:pStyle w:val="NoSpacing"/>
                            <w:ind w:left="450"/>
                            <w:jc w:val="right"/>
                            <w:rPr>
                              <w:color w:val="5B9BD5" w:themeColor="accent1"/>
                              <w:sz w:val="48"/>
                              <w:szCs w:val="48"/>
                            </w:rPr>
                          </w:pPr>
                          <w:r>
                            <w:rPr>
                              <w:color w:val="595959" w:themeColor="text1" w:themeTint="A6"/>
                              <w:sz w:val="44"/>
                              <w:szCs w:val="44"/>
                            </w:rPr>
                            <w:t xml:space="preserve">                                           </w:t>
                          </w:r>
                          <w:r w:rsidR="000079BC">
                            <w:rPr>
                              <w:color w:val="595959" w:themeColor="text1" w:themeTint="A6"/>
                              <w:sz w:val="44"/>
                              <w:szCs w:val="44"/>
                            </w:rPr>
                            <w:t xml:space="preserve">                           </w:t>
                          </w:r>
                          <w:r w:rsidRPr="005F1D98">
                            <w:rPr>
                              <w:color w:val="5B9BD5" w:themeColor="accent1"/>
                              <w:sz w:val="48"/>
                              <w:szCs w:val="48"/>
                            </w:rPr>
                            <w:t>LEGAL COUNSEL for</w:t>
                          </w:r>
                        </w:p>
                        <w:p w14:paraId="44A4D936" w14:textId="0A383A16" w:rsidR="008C6A0B" w:rsidRPr="005F1D98" w:rsidRDefault="008C6A0B" w:rsidP="008319F9">
                          <w:pPr>
                            <w:pStyle w:val="NoSpacing"/>
                            <w:ind w:left="-1710"/>
                            <w:jc w:val="right"/>
                            <w:rPr>
                              <w:color w:val="5B9BD5" w:themeColor="accent1"/>
                              <w:sz w:val="48"/>
                              <w:szCs w:val="48"/>
                              <w:highlight w:val="blue"/>
                            </w:rPr>
                          </w:pPr>
                          <w:r w:rsidRPr="005F1D98">
                            <w:rPr>
                              <w:color w:val="5B9BD5" w:themeColor="accent1"/>
                              <w:sz w:val="48"/>
                              <w:szCs w:val="48"/>
                            </w:rPr>
                            <w:t xml:space="preserve">NYS LIQUOR LICENSING MATTERS  </w:t>
                          </w:r>
                        </w:p>
                        <w:p w14:paraId="032DB647" w14:textId="77777777" w:rsidR="008C6A0B" w:rsidRPr="005F1D98" w:rsidRDefault="008C6A0B" w:rsidP="00141CA3">
                          <w:pPr>
                            <w:pStyle w:val="NoSpacing"/>
                            <w:rPr>
                              <w:color w:val="5B9BD5" w:themeColor="accent1"/>
                              <w:sz w:val="48"/>
                              <w:szCs w:val="48"/>
                            </w:rPr>
                          </w:pPr>
                          <w:r w:rsidRPr="005F1D98">
                            <w:rPr>
                              <w:color w:val="5B9BD5" w:themeColor="accent1"/>
                              <w:sz w:val="48"/>
                              <w:szCs w:val="48"/>
                            </w:rPr>
                            <w:t xml:space="preserve">       </w:t>
                          </w:r>
                          <w:r w:rsidRPr="005F1D98">
                            <w:rPr>
                              <w:color w:val="5B9BD5" w:themeColor="accent1"/>
                              <w:sz w:val="48"/>
                              <w:szCs w:val="48"/>
                            </w:rPr>
                            <w:tab/>
                          </w:r>
                          <w:r w:rsidRPr="005F1D98">
                            <w:rPr>
                              <w:color w:val="5B9BD5" w:themeColor="accent1"/>
                              <w:sz w:val="48"/>
                              <w:szCs w:val="48"/>
                            </w:rPr>
                            <w:tab/>
                          </w:r>
                          <w:r w:rsidRPr="005F1D98">
                            <w:rPr>
                              <w:color w:val="5B9BD5" w:themeColor="accent1"/>
                              <w:sz w:val="48"/>
                              <w:szCs w:val="48"/>
                            </w:rPr>
                            <w:tab/>
                          </w:r>
                          <w:r w:rsidRPr="005F1D98">
                            <w:rPr>
                              <w:color w:val="5B9BD5" w:themeColor="accent1"/>
                              <w:sz w:val="48"/>
                              <w:szCs w:val="48"/>
                            </w:rPr>
                            <w:tab/>
                            <w:t xml:space="preserve">    RFP SGC-0048-22JR</w:t>
                          </w:r>
                        </w:p>
                      </w:txbxContent>
                    </v:textbox>
                    <w10:wrap type="square" anchorx="page" anchory="page"/>
                  </v:shape>
                </w:pict>
              </mc:Fallback>
            </mc:AlternateContent>
          </w:r>
          <w:r w:rsidRPr="00CC44E0">
            <w:rPr>
              <w:noProof/>
            </w:rPr>
            <w:drawing>
              <wp:inline distT="0" distB="0" distL="0" distR="0" wp14:anchorId="61986AAE" wp14:editId="2F417951">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7DD7E5AC" wp14:editId="5E93021A">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14:paraId="6F2B675B" w14:textId="77777777" w:rsidR="008C6A0B" w:rsidRPr="003E48CF" w:rsidRDefault="008C6A0B"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D7E5AC"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14:paraId="6F2B675B" w14:textId="77777777" w:rsidR="008C6A0B" w:rsidRPr="003E48CF" w:rsidRDefault="008C6A0B"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48C47AC8" wp14:editId="34A7349B">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14:paraId="1068CBE1" w14:textId="05CA37D5" w:rsidR="008C6A0B" w:rsidRPr="00141CA3" w:rsidRDefault="008C6A0B" w:rsidP="00A35652">
                                <w:pPr>
                                  <w:pStyle w:val="NoSpacing"/>
                                  <w:ind w:right="-310"/>
                                  <w:jc w:val="right"/>
                                  <w:rPr>
                                    <w:color w:val="595959" w:themeColor="text1" w:themeTint="A6"/>
                                    <w:sz w:val="40"/>
                                    <w:szCs w:val="40"/>
                                  </w:rPr>
                                </w:pPr>
                                <w:r>
                                  <w:rPr>
                                    <w:color w:val="5B9BD5" w:themeColor="accent1"/>
                                    <w:sz w:val="40"/>
                                    <w:szCs w:val="40"/>
                                  </w:rPr>
                                  <w:t xml:space="preserve">    </w:t>
                                </w:r>
                                <w:r>
                                  <w:rPr>
                                    <w:color w:val="5B9BD5" w:themeColor="accent1"/>
                                    <w:sz w:val="40"/>
                                    <w:szCs w:val="40"/>
                                  </w:rPr>
                                  <w:tab/>
                                </w:r>
                                <w:r>
                                  <w:rPr>
                                    <w:color w:val="5B9BD5" w:themeColor="accent1"/>
                                    <w:sz w:val="40"/>
                                    <w:szCs w:val="40"/>
                                  </w:rPr>
                                  <w:tab/>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C47AC8"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14:paraId="1068CBE1" w14:textId="05CA37D5" w:rsidR="008C6A0B" w:rsidRPr="00141CA3" w:rsidRDefault="008C6A0B" w:rsidP="00A35652">
                          <w:pPr>
                            <w:pStyle w:val="NoSpacing"/>
                            <w:ind w:right="-310"/>
                            <w:jc w:val="right"/>
                            <w:rPr>
                              <w:color w:val="595959" w:themeColor="text1" w:themeTint="A6"/>
                              <w:sz w:val="40"/>
                              <w:szCs w:val="40"/>
                            </w:rPr>
                          </w:pPr>
                          <w:r>
                            <w:rPr>
                              <w:color w:val="5B9BD5" w:themeColor="accent1"/>
                              <w:sz w:val="40"/>
                              <w:szCs w:val="40"/>
                            </w:rPr>
                            <w:t xml:space="preserve">    </w:t>
                          </w:r>
                          <w:r>
                            <w:rPr>
                              <w:color w:val="5B9BD5" w:themeColor="accent1"/>
                              <w:sz w:val="40"/>
                              <w:szCs w:val="40"/>
                            </w:rPr>
                            <w:tab/>
                          </w:r>
                          <w:r>
                            <w:rPr>
                              <w:color w:val="5B9BD5" w:themeColor="accent1"/>
                              <w:sz w:val="40"/>
                              <w:szCs w:val="40"/>
                            </w:rPr>
                            <w:tab/>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D99F202" wp14:editId="65E5E614">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ADE97" w14:textId="77777777" w:rsidR="008C6A0B" w:rsidRDefault="0019471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C6A0B">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14:paraId="7199EFFD" w14:textId="77777777" w:rsidR="008C6A0B" w:rsidRDefault="008C6A0B"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D99F202"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14:paraId="12DADE97" w14:textId="77777777" w:rsidR="008C6A0B" w:rsidRDefault="00B0261D"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C6A0B">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14:paraId="7199EFFD" w14:textId="77777777" w:rsidR="008C6A0B" w:rsidRDefault="008C6A0B"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B885AD" wp14:editId="24ED13B8">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14:paraId="51D58670" w14:textId="77777777" w:rsidR="00E96538" w:rsidRDefault="00E96538" w:rsidP="00E96538">
          <w:pPr>
            <w:pStyle w:val="TOCHeading"/>
          </w:pPr>
          <w:r>
            <w:t>Table of Contents</w:t>
          </w:r>
        </w:p>
        <w:p w14:paraId="6DF0A4ED" w14:textId="74ED5B8B" w:rsidR="00ED6C11"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4537552" w:history="1">
            <w:r w:rsidR="00ED6C11" w:rsidRPr="004376E4">
              <w:rPr>
                <w:rStyle w:val="Hyperlink"/>
                <w:noProof/>
              </w:rPr>
              <w:t>I.</w:t>
            </w:r>
            <w:r w:rsidR="00ED6C11">
              <w:rPr>
                <w:rFonts w:eastAsiaTheme="minorEastAsia"/>
                <w:noProof/>
              </w:rPr>
              <w:tab/>
            </w:r>
            <w:r w:rsidR="00ED6C11" w:rsidRPr="004376E4">
              <w:rPr>
                <w:rStyle w:val="Hyperlink"/>
                <w:noProof/>
              </w:rPr>
              <w:t>Introduction</w:t>
            </w:r>
            <w:r w:rsidR="00ED6C11">
              <w:rPr>
                <w:noProof/>
                <w:webHidden/>
              </w:rPr>
              <w:tab/>
            </w:r>
            <w:r w:rsidR="00ED6C11">
              <w:rPr>
                <w:noProof/>
                <w:webHidden/>
              </w:rPr>
              <w:fldChar w:fldCharType="begin"/>
            </w:r>
            <w:r w:rsidR="00ED6C11">
              <w:rPr>
                <w:noProof/>
                <w:webHidden/>
              </w:rPr>
              <w:instrText xml:space="preserve"> PAGEREF _Toc104537552 \h </w:instrText>
            </w:r>
            <w:r w:rsidR="00ED6C11">
              <w:rPr>
                <w:noProof/>
                <w:webHidden/>
              </w:rPr>
            </w:r>
            <w:r w:rsidR="00ED6C11">
              <w:rPr>
                <w:noProof/>
                <w:webHidden/>
              </w:rPr>
              <w:fldChar w:fldCharType="separate"/>
            </w:r>
            <w:r w:rsidR="00ED6C11">
              <w:rPr>
                <w:noProof/>
                <w:webHidden/>
              </w:rPr>
              <w:t>2</w:t>
            </w:r>
            <w:r w:rsidR="00ED6C11">
              <w:rPr>
                <w:noProof/>
                <w:webHidden/>
              </w:rPr>
              <w:fldChar w:fldCharType="end"/>
            </w:r>
          </w:hyperlink>
        </w:p>
        <w:p w14:paraId="43F41095" w14:textId="19A33C23" w:rsidR="00ED6C11" w:rsidRDefault="00ED6C11">
          <w:pPr>
            <w:pStyle w:val="TOC1"/>
            <w:tabs>
              <w:tab w:val="left" w:pos="440"/>
              <w:tab w:val="right" w:leader="dot" w:pos="9350"/>
            </w:tabs>
            <w:rPr>
              <w:rFonts w:eastAsiaTheme="minorEastAsia"/>
              <w:noProof/>
            </w:rPr>
          </w:pPr>
          <w:hyperlink w:anchor="_Toc104537553" w:history="1">
            <w:r w:rsidRPr="004376E4">
              <w:rPr>
                <w:rStyle w:val="Hyperlink"/>
                <w:noProof/>
              </w:rPr>
              <w:t>II.</w:t>
            </w:r>
            <w:r>
              <w:rPr>
                <w:rFonts w:eastAsiaTheme="minorEastAsia"/>
                <w:noProof/>
              </w:rPr>
              <w:tab/>
            </w:r>
            <w:r w:rsidRPr="004376E4">
              <w:rPr>
                <w:rStyle w:val="Hyperlink"/>
                <w:noProof/>
              </w:rPr>
              <w:t>RFP Objective</w:t>
            </w:r>
            <w:r>
              <w:rPr>
                <w:noProof/>
                <w:webHidden/>
              </w:rPr>
              <w:tab/>
            </w:r>
            <w:r>
              <w:rPr>
                <w:noProof/>
                <w:webHidden/>
              </w:rPr>
              <w:fldChar w:fldCharType="begin"/>
            </w:r>
            <w:r>
              <w:rPr>
                <w:noProof/>
                <w:webHidden/>
              </w:rPr>
              <w:instrText xml:space="preserve"> PAGEREF _Toc104537553 \h </w:instrText>
            </w:r>
            <w:r>
              <w:rPr>
                <w:noProof/>
                <w:webHidden/>
              </w:rPr>
            </w:r>
            <w:r>
              <w:rPr>
                <w:noProof/>
                <w:webHidden/>
              </w:rPr>
              <w:fldChar w:fldCharType="separate"/>
            </w:r>
            <w:r>
              <w:rPr>
                <w:noProof/>
                <w:webHidden/>
              </w:rPr>
              <w:t>2</w:t>
            </w:r>
            <w:r>
              <w:rPr>
                <w:noProof/>
                <w:webHidden/>
              </w:rPr>
              <w:fldChar w:fldCharType="end"/>
            </w:r>
          </w:hyperlink>
        </w:p>
        <w:p w14:paraId="052D00F8" w14:textId="040F2310" w:rsidR="00ED6C11" w:rsidRDefault="00ED6C11">
          <w:pPr>
            <w:pStyle w:val="TOC1"/>
            <w:tabs>
              <w:tab w:val="left" w:pos="660"/>
              <w:tab w:val="right" w:leader="dot" w:pos="9350"/>
            </w:tabs>
            <w:rPr>
              <w:rFonts w:eastAsiaTheme="minorEastAsia"/>
              <w:noProof/>
            </w:rPr>
          </w:pPr>
          <w:hyperlink w:anchor="_Toc104537554" w:history="1">
            <w:r w:rsidRPr="004376E4">
              <w:rPr>
                <w:rStyle w:val="Hyperlink"/>
                <w:noProof/>
              </w:rPr>
              <w:t>III.</w:t>
            </w:r>
            <w:r>
              <w:rPr>
                <w:rFonts w:eastAsiaTheme="minorEastAsia"/>
                <w:noProof/>
              </w:rPr>
              <w:tab/>
            </w:r>
            <w:r w:rsidRPr="004376E4">
              <w:rPr>
                <w:rStyle w:val="Hyperlink"/>
                <w:noProof/>
              </w:rPr>
              <w:t>Scope of Services</w:t>
            </w:r>
            <w:r>
              <w:rPr>
                <w:noProof/>
                <w:webHidden/>
              </w:rPr>
              <w:tab/>
            </w:r>
            <w:r>
              <w:rPr>
                <w:noProof/>
                <w:webHidden/>
              </w:rPr>
              <w:fldChar w:fldCharType="begin"/>
            </w:r>
            <w:r>
              <w:rPr>
                <w:noProof/>
                <w:webHidden/>
              </w:rPr>
              <w:instrText xml:space="preserve"> PAGEREF _Toc104537554 \h </w:instrText>
            </w:r>
            <w:r>
              <w:rPr>
                <w:noProof/>
                <w:webHidden/>
              </w:rPr>
            </w:r>
            <w:r>
              <w:rPr>
                <w:noProof/>
                <w:webHidden/>
              </w:rPr>
              <w:fldChar w:fldCharType="separate"/>
            </w:r>
            <w:r>
              <w:rPr>
                <w:noProof/>
                <w:webHidden/>
              </w:rPr>
              <w:t>2</w:t>
            </w:r>
            <w:r>
              <w:rPr>
                <w:noProof/>
                <w:webHidden/>
              </w:rPr>
              <w:fldChar w:fldCharType="end"/>
            </w:r>
          </w:hyperlink>
        </w:p>
        <w:p w14:paraId="2A8ADF98" w14:textId="25264E06" w:rsidR="00ED6C11" w:rsidRDefault="00ED6C11">
          <w:pPr>
            <w:pStyle w:val="TOC1"/>
            <w:tabs>
              <w:tab w:val="left" w:pos="660"/>
              <w:tab w:val="right" w:leader="dot" w:pos="9350"/>
            </w:tabs>
            <w:rPr>
              <w:rFonts w:eastAsiaTheme="minorEastAsia"/>
              <w:noProof/>
            </w:rPr>
          </w:pPr>
          <w:hyperlink w:anchor="_Toc104537555" w:history="1">
            <w:r w:rsidRPr="004376E4">
              <w:rPr>
                <w:rStyle w:val="Hyperlink"/>
                <w:noProof/>
              </w:rPr>
              <w:t>IV.</w:t>
            </w:r>
            <w:r>
              <w:rPr>
                <w:rFonts w:eastAsiaTheme="minorEastAsia"/>
                <w:noProof/>
              </w:rPr>
              <w:tab/>
            </w:r>
            <w:r w:rsidRPr="004376E4">
              <w:rPr>
                <w:rStyle w:val="Hyperlink"/>
                <w:noProof/>
              </w:rPr>
              <w:t>RFP Administrative Information</w:t>
            </w:r>
            <w:r>
              <w:rPr>
                <w:noProof/>
                <w:webHidden/>
              </w:rPr>
              <w:tab/>
            </w:r>
            <w:r>
              <w:rPr>
                <w:noProof/>
                <w:webHidden/>
              </w:rPr>
              <w:fldChar w:fldCharType="begin"/>
            </w:r>
            <w:r>
              <w:rPr>
                <w:noProof/>
                <w:webHidden/>
              </w:rPr>
              <w:instrText xml:space="preserve"> PAGEREF _Toc104537555 \h </w:instrText>
            </w:r>
            <w:r>
              <w:rPr>
                <w:noProof/>
                <w:webHidden/>
              </w:rPr>
            </w:r>
            <w:r>
              <w:rPr>
                <w:noProof/>
                <w:webHidden/>
              </w:rPr>
              <w:fldChar w:fldCharType="separate"/>
            </w:r>
            <w:r>
              <w:rPr>
                <w:noProof/>
                <w:webHidden/>
              </w:rPr>
              <w:t>3</w:t>
            </w:r>
            <w:r>
              <w:rPr>
                <w:noProof/>
                <w:webHidden/>
              </w:rPr>
              <w:fldChar w:fldCharType="end"/>
            </w:r>
          </w:hyperlink>
        </w:p>
        <w:p w14:paraId="2CB09838" w14:textId="1D2D1B64" w:rsidR="00ED6C11" w:rsidRDefault="00ED6C11">
          <w:pPr>
            <w:pStyle w:val="TOC2"/>
            <w:tabs>
              <w:tab w:val="left" w:pos="660"/>
              <w:tab w:val="right" w:leader="dot" w:pos="9350"/>
            </w:tabs>
            <w:rPr>
              <w:rFonts w:eastAsiaTheme="minorEastAsia"/>
              <w:noProof/>
            </w:rPr>
          </w:pPr>
          <w:hyperlink w:anchor="_Toc104537556" w:history="1">
            <w:r w:rsidRPr="004376E4">
              <w:rPr>
                <w:rStyle w:val="Hyperlink"/>
                <w:noProof/>
              </w:rPr>
              <w:t>A.</w:t>
            </w:r>
            <w:r>
              <w:rPr>
                <w:rFonts w:eastAsiaTheme="minorEastAsia"/>
                <w:noProof/>
              </w:rPr>
              <w:tab/>
            </w:r>
            <w:r w:rsidRPr="004376E4">
              <w:rPr>
                <w:rStyle w:val="Hyperlink"/>
                <w:noProof/>
              </w:rPr>
              <w:t>Contact Information</w:t>
            </w:r>
            <w:r>
              <w:rPr>
                <w:noProof/>
                <w:webHidden/>
              </w:rPr>
              <w:tab/>
            </w:r>
            <w:r>
              <w:rPr>
                <w:noProof/>
                <w:webHidden/>
              </w:rPr>
              <w:fldChar w:fldCharType="begin"/>
            </w:r>
            <w:r>
              <w:rPr>
                <w:noProof/>
                <w:webHidden/>
              </w:rPr>
              <w:instrText xml:space="preserve"> PAGEREF _Toc104537556 \h </w:instrText>
            </w:r>
            <w:r>
              <w:rPr>
                <w:noProof/>
                <w:webHidden/>
              </w:rPr>
            </w:r>
            <w:r>
              <w:rPr>
                <w:noProof/>
                <w:webHidden/>
              </w:rPr>
              <w:fldChar w:fldCharType="separate"/>
            </w:r>
            <w:r>
              <w:rPr>
                <w:noProof/>
                <w:webHidden/>
              </w:rPr>
              <w:t>3</w:t>
            </w:r>
            <w:r>
              <w:rPr>
                <w:noProof/>
                <w:webHidden/>
              </w:rPr>
              <w:fldChar w:fldCharType="end"/>
            </w:r>
          </w:hyperlink>
        </w:p>
        <w:p w14:paraId="0DCC798F" w14:textId="69CFBF0B" w:rsidR="00ED6C11" w:rsidRDefault="00ED6C11">
          <w:pPr>
            <w:pStyle w:val="TOC2"/>
            <w:tabs>
              <w:tab w:val="left" w:pos="660"/>
              <w:tab w:val="right" w:leader="dot" w:pos="9350"/>
            </w:tabs>
            <w:rPr>
              <w:rFonts w:eastAsiaTheme="minorEastAsia"/>
              <w:noProof/>
            </w:rPr>
          </w:pPr>
          <w:hyperlink w:anchor="_Toc104537557" w:history="1">
            <w:r w:rsidRPr="004376E4">
              <w:rPr>
                <w:rStyle w:val="Hyperlink"/>
                <w:noProof/>
              </w:rPr>
              <w:t>B.</w:t>
            </w:r>
            <w:r>
              <w:rPr>
                <w:rFonts w:eastAsiaTheme="minorEastAsia"/>
                <w:noProof/>
              </w:rPr>
              <w:tab/>
            </w:r>
            <w:r w:rsidRPr="004376E4">
              <w:rPr>
                <w:rStyle w:val="Hyperlink"/>
                <w:noProof/>
              </w:rPr>
              <w:t>Schedule of Events</w:t>
            </w:r>
            <w:r>
              <w:rPr>
                <w:noProof/>
                <w:webHidden/>
              </w:rPr>
              <w:tab/>
            </w:r>
            <w:r>
              <w:rPr>
                <w:noProof/>
                <w:webHidden/>
              </w:rPr>
              <w:fldChar w:fldCharType="begin"/>
            </w:r>
            <w:r>
              <w:rPr>
                <w:noProof/>
                <w:webHidden/>
              </w:rPr>
              <w:instrText xml:space="preserve"> PAGEREF _Toc104537557 \h </w:instrText>
            </w:r>
            <w:r>
              <w:rPr>
                <w:noProof/>
                <w:webHidden/>
              </w:rPr>
            </w:r>
            <w:r>
              <w:rPr>
                <w:noProof/>
                <w:webHidden/>
              </w:rPr>
              <w:fldChar w:fldCharType="separate"/>
            </w:r>
            <w:r>
              <w:rPr>
                <w:noProof/>
                <w:webHidden/>
              </w:rPr>
              <w:t>3</w:t>
            </w:r>
            <w:r>
              <w:rPr>
                <w:noProof/>
                <w:webHidden/>
              </w:rPr>
              <w:fldChar w:fldCharType="end"/>
            </w:r>
          </w:hyperlink>
        </w:p>
        <w:p w14:paraId="786014EC" w14:textId="0BDDF83F" w:rsidR="00ED6C11" w:rsidRDefault="00ED6C11">
          <w:pPr>
            <w:pStyle w:val="TOC2"/>
            <w:tabs>
              <w:tab w:val="left" w:pos="660"/>
              <w:tab w:val="right" w:leader="dot" w:pos="9350"/>
            </w:tabs>
            <w:rPr>
              <w:rFonts w:eastAsiaTheme="minorEastAsia"/>
              <w:noProof/>
            </w:rPr>
          </w:pPr>
          <w:hyperlink w:anchor="_Toc104537558" w:history="1">
            <w:r w:rsidRPr="004376E4">
              <w:rPr>
                <w:rStyle w:val="Hyperlink"/>
                <w:rFonts w:eastAsia="Times New Roman"/>
                <w:noProof/>
              </w:rPr>
              <w:t>C.</w:t>
            </w:r>
            <w:r>
              <w:rPr>
                <w:rFonts w:eastAsiaTheme="minorEastAsia"/>
                <w:noProof/>
              </w:rPr>
              <w:tab/>
            </w:r>
            <w:r w:rsidRPr="004376E4">
              <w:rPr>
                <w:rStyle w:val="Hyperlink"/>
                <w:rFonts w:eastAsia="Times New Roman"/>
                <w:noProof/>
              </w:rPr>
              <w:t>Intent to Bid &amp; Availability for Demonstrations</w:t>
            </w:r>
            <w:r>
              <w:rPr>
                <w:noProof/>
                <w:webHidden/>
              </w:rPr>
              <w:tab/>
            </w:r>
            <w:r>
              <w:rPr>
                <w:noProof/>
                <w:webHidden/>
              </w:rPr>
              <w:fldChar w:fldCharType="begin"/>
            </w:r>
            <w:r>
              <w:rPr>
                <w:noProof/>
                <w:webHidden/>
              </w:rPr>
              <w:instrText xml:space="preserve"> PAGEREF _Toc104537558 \h </w:instrText>
            </w:r>
            <w:r>
              <w:rPr>
                <w:noProof/>
                <w:webHidden/>
              </w:rPr>
            </w:r>
            <w:r>
              <w:rPr>
                <w:noProof/>
                <w:webHidden/>
              </w:rPr>
              <w:fldChar w:fldCharType="separate"/>
            </w:r>
            <w:r>
              <w:rPr>
                <w:noProof/>
                <w:webHidden/>
              </w:rPr>
              <w:t>3</w:t>
            </w:r>
            <w:r>
              <w:rPr>
                <w:noProof/>
                <w:webHidden/>
              </w:rPr>
              <w:fldChar w:fldCharType="end"/>
            </w:r>
          </w:hyperlink>
        </w:p>
        <w:p w14:paraId="190FA7DC" w14:textId="731761E3" w:rsidR="00ED6C11" w:rsidRDefault="00ED6C11">
          <w:pPr>
            <w:pStyle w:val="TOC2"/>
            <w:tabs>
              <w:tab w:val="left" w:pos="660"/>
              <w:tab w:val="right" w:leader="dot" w:pos="9350"/>
            </w:tabs>
            <w:rPr>
              <w:rFonts w:eastAsiaTheme="minorEastAsia"/>
              <w:noProof/>
            </w:rPr>
          </w:pPr>
          <w:hyperlink w:anchor="_Toc104537559" w:history="1">
            <w:r w:rsidRPr="004376E4">
              <w:rPr>
                <w:rStyle w:val="Hyperlink"/>
                <w:rFonts w:eastAsia="Times New Roman"/>
                <w:noProof/>
              </w:rPr>
              <w:t>D.</w:t>
            </w:r>
            <w:r>
              <w:rPr>
                <w:rFonts w:eastAsiaTheme="minorEastAsia"/>
                <w:noProof/>
              </w:rPr>
              <w:tab/>
            </w:r>
            <w:r w:rsidRPr="004376E4">
              <w:rPr>
                <w:rStyle w:val="Hyperlink"/>
                <w:rFonts w:eastAsia="Times New Roman"/>
                <w:noProof/>
              </w:rPr>
              <w:t>Bidder Questions</w:t>
            </w:r>
            <w:r>
              <w:rPr>
                <w:noProof/>
                <w:webHidden/>
              </w:rPr>
              <w:tab/>
            </w:r>
            <w:r>
              <w:rPr>
                <w:noProof/>
                <w:webHidden/>
              </w:rPr>
              <w:fldChar w:fldCharType="begin"/>
            </w:r>
            <w:r>
              <w:rPr>
                <w:noProof/>
                <w:webHidden/>
              </w:rPr>
              <w:instrText xml:space="preserve"> PAGEREF _Toc104537559 \h </w:instrText>
            </w:r>
            <w:r>
              <w:rPr>
                <w:noProof/>
                <w:webHidden/>
              </w:rPr>
            </w:r>
            <w:r>
              <w:rPr>
                <w:noProof/>
                <w:webHidden/>
              </w:rPr>
              <w:fldChar w:fldCharType="separate"/>
            </w:r>
            <w:r>
              <w:rPr>
                <w:noProof/>
                <w:webHidden/>
              </w:rPr>
              <w:t>3</w:t>
            </w:r>
            <w:r>
              <w:rPr>
                <w:noProof/>
                <w:webHidden/>
              </w:rPr>
              <w:fldChar w:fldCharType="end"/>
            </w:r>
          </w:hyperlink>
        </w:p>
        <w:p w14:paraId="08A75BCC" w14:textId="74919174" w:rsidR="00ED6C11" w:rsidRDefault="00ED6C11">
          <w:pPr>
            <w:pStyle w:val="TOC2"/>
            <w:tabs>
              <w:tab w:val="left" w:pos="660"/>
              <w:tab w:val="right" w:leader="dot" w:pos="9350"/>
            </w:tabs>
            <w:rPr>
              <w:rFonts w:eastAsiaTheme="minorEastAsia"/>
              <w:noProof/>
            </w:rPr>
          </w:pPr>
          <w:hyperlink w:anchor="_Toc104537560" w:history="1">
            <w:r w:rsidRPr="004376E4">
              <w:rPr>
                <w:rStyle w:val="Hyperlink"/>
                <w:rFonts w:eastAsia="Times New Roman"/>
                <w:noProof/>
              </w:rPr>
              <w:t>E.</w:t>
            </w:r>
            <w:r>
              <w:rPr>
                <w:rFonts w:eastAsiaTheme="minorEastAsia"/>
                <w:noProof/>
              </w:rPr>
              <w:tab/>
            </w:r>
            <w:r w:rsidRPr="004376E4">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_Toc104537560 \h </w:instrText>
            </w:r>
            <w:r>
              <w:rPr>
                <w:noProof/>
                <w:webHidden/>
              </w:rPr>
            </w:r>
            <w:r>
              <w:rPr>
                <w:noProof/>
                <w:webHidden/>
              </w:rPr>
              <w:fldChar w:fldCharType="separate"/>
            </w:r>
            <w:r>
              <w:rPr>
                <w:noProof/>
                <w:webHidden/>
              </w:rPr>
              <w:t>4</w:t>
            </w:r>
            <w:r>
              <w:rPr>
                <w:noProof/>
                <w:webHidden/>
              </w:rPr>
              <w:fldChar w:fldCharType="end"/>
            </w:r>
          </w:hyperlink>
        </w:p>
        <w:p w14:paraId="17794F6B" w14:textId="211C41ED" w:rsidR="00ED6C11" w:rsidRDefault="00ED6C11">
          <w:pPr>
            <w:pStyle w:val="TOC2"/>
            <w:tabs>
              <w:tab w:val="left" w:pos="660"/>
              <w:tab w:val="right" w:leader="dot" w:pos="9350"/>
            </w:tabs>
            <w:rPr>
              <w:rFonts w:eastAsiaTheme="minorEastAsia"/>
              <w:noProof/>
            </w:rPr>
          </w:pPr>
          <w:hyperlink w:anchor="_Toc104537561" w:history="1">
            <w:r w:rsidRPr="004376E4">
              <w:rPr>
                <w:rStyle w:val="Hyperlink"/>
                <w:rFonts w:eastAsia="Times New Roman"/>
                <w:noProof/>
              </w:rPr>
              <w:t>F.</w:t>
            </w:r>
            <w:r>
              <w:rPr>
                <w:rFonts w:eastAsiaTheme="minorEastAsia"/>
                <w:noProof/>
              </w:rPr>
              <w:tab/>
            </w:r>
            <w:r w:rsidRPr="004376E4">
              <w:rPr>
                <w:rStyle w:val="Hyperlink"/>
                <w:rFonts w:eastAsia="Times New Roman"/>
                <w:noProof/>
              </w:rPr>
              <w:t>Proposal Format</w:t>
            </w:r>
            <w:r>
              <w:rPr>
                <w:noProof/>
                <w:webHidden/>
              </w:rPr>
              <w:tab/>
            </w:r>
            <w:r>
              <w:rPr>
                <w:noProof/>
                <w:webHidden/>
              </w:rPr>
              <w:fldChar w:fldCharType="begin"/>
            </w:r>
            <w:r>
              <w:rPr>
                <w:noProof/>
                <w:webHidden/>
              </w:rPr>
              <w:instrText xml:space="preserve"> PAGEREF _Toc104537561 \h </w:instrText>
            </w:r>
            <w:r>
              <w:rPr>
                <w:noProof/>
                <w:webHidden/>
              </w:rPr>
            </w:r>
            <w:r>
              <w:rPr>
                <w:noProof/>
                <w:webHidden/>
              </w:rPr>
              <w:fldChar w:fldCharType="separate"/>
            </w:r>
            <w:r>
              <w:rPr>
                <w:noProof/>
                <w:webHidden/>
              </w:rPr>
              <w:t>4</w:t>
            </w:r>
            <w:r>
              <w:rPr>
                <w:noProof/>
                <w:webHidden/>
              </w:rPr>
              <w:fldChar w:fldCharType="end"/>
            </w:r>
          </w:hyperlink>
        </w:p>
        <w:p w14:paraId="23E87917" w14:textId="02D3C557" w:rsidR="00ED6C11" w:rsidRDefault="00ED6C11">
          <w:pPr>
            <w:pStyle w:val="TOC2"/>
            <w:tabs>
              <w:tab w:val="left" w:pos="660"/>
              <w:tab w:val="right" w:leader="dot" w:pos="9350"/>
            </w:tabs>
            <w:rPr>
              <w:rFonts w:eastAsiaTheme="minorEastAsia"/>
              <w:noProof/>
            </w:rPr>
          </w:pPr>
          <w:hyperlink w:anchor="_Toc104537562" w:history="1">
            <w:r w:rsidRPr="004376E4">
              <w:rPr>
                <w:rStyle w:val="Hyperlink"/>
                <w:rFonts w:eastAsia="Times New Roman"/>
                <w:noProof/>
              </w:rPr>
              <w:t>G.</w:t>
            </w:r>
            <w:r>
              <w:rPr>
                <w:rFonts w:eastAsiaTheme="minorEastAsia"/>
                <w:noProof/>
              </w:rPr>
              <w:tab/>
            </w:r>
            <w:r w:rsidRPr="004376E4">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_Toc104537562 \h </w:instrText>
            </w:r>
            <w:r>
              <w:rPr>
                <w:noProof/>
                <w:webHidden/>
              </w:rPr>
            </w:r>
            <w:r>
              <w:rPr>
                <w:noProof/>
                <w:webHidden/>
              </w:rPr>
              <w:fldChar w:fldCharType="separate"/>
            </w:r>
            <w:r>
              <w:rPr>
                <w:noProof/>
                <w:webHidden/>
              </w:rPr>
              <w:t>5</w:t>
            </w:r>
            <w:r>
              <w:rPr>
                <w:noProof/>
                <w:webHidden/>
              </w:rPr>
              <w:fldChar w:fldCharType="end"/>
            </w:r>
          </w:hyperlink>
        </w:p>
        <w:p w14:paraId="287A2A31" w14:textId="4F6541DE" w:rsidR="00ED6C11" w:rsidRDefault="00ED6C11">
          <w:pPr>
            <w:pStyle w:val="TOC2"/>
            <w:tabs>
              <w:tab w:val="left" w:pos="660"/>
              <w:tab w:val="right" w:leader="dot" w:pos="9350"/>
            </w:tabs>
            <w:rPr>
              <w:rFonts w:eastAsiaTheme="minorEastAsia"/>
              <w:noProof/>
            </w:rPr>
          </w:pPr>
          <w:hyperlink w:anchor="_Toc104537563" w:history="1">
            <w:r w:rsidRPr="004376E4">
              <w:rPr>
                <w:rStyle w:val="Hyperlink"/>
                <w:rFonts w:eastAsia="Times New Roman"/>
                <w:noProof/>
              </w:rPr>
              <w:t>H.</w:t>
            </w:r>
            <w:r>
              <w:rPr>
                <w:rFonts w:eastAsiaTheme="minorEastAsia"/>
                <w:noProof/>
              </w:rPr>
              <w:tab/>
            </w:r>
            <w:r w:rsidRPr="004376E4">
              <w:rPr>
                <w:rStyle w:val="Hyperlink"/>
                <w:rFonts w:eastAsia="Times New Roman"/>
                <w:noProof/>
              </w:rPr>
              <w:t>General Terms</w:t>
            </w:r>
            <w:r>
              <w:rPr>
                <w:noProof/>
                <w:webHidden/>
              </w:rPr>
              <w:tab/>
            </w:r>
            <w:r>
              <w:rPr>
                <w:noProof/>
                <w:webHidden/>
              </w:rPr>
              <w:fldChar w:fldCharType="begin"/>
            </w:r>
            <w:r>
              <w:rPr>
                <w:noProof/>
                <w:webHidden/>
              </w:rPr>
              <w:instrText xml:space="preserve"> PAGEREF _Toc104537563 \h </w:instrText>
            </w:r>
            <w:r>
              <w:rPr>
                <w:noProof/>
                <w:webHidden/>
              </w:rPr>
            </w:r>
            <w:r>
              <w:rPr>
                <w:noProof/>
                <w:webHidden/>
              </w:rPr>
              <w:fldChar w:fldCharType="separate"/>
            </w:r>
            <w:r>
              <w:rPr>
                <w:noProof/>
                <w:webHidden/>
              </w:rPr>
              <w:t>5</w:t>
            </w:r>
            <w:r>
              <w:rPr>
                <w:noProof/>
                <w:webHidden/>
              </w:rPr>
              <w:fldChar w:fldCharType="end"/>
            </w:r>
          </w:hyperlink>
        </w:p>
        <w:p w14:paraId="0742CCA5" w14:textId="4186DD9D" w:rsidR="00E96538" w:rsidRDefault="00E96538" w:rsidP="00E96538">
          <w:r>
            <w:rPr>
              <w:b/>
              <w:bCs/>
              <w:noProof/>
            </w:rPr>
            <w:fldChar w:fldCharType="end"/>
          </w:r>
        </w:p>
      </w:sdtContent>
    </w:sdt>
    <w:p w14:paraId="28B1921C" w14:textId="77777777" w:rsidR="00E96538" w:rsidRDefault="00E96538" w:rsidP="00E96538">
      <w:pPr>
        <w:rPr>
          <w:rFonts w:asciiTheme="majorHAnsi" w:eastAsiaTheme="majorEastAsia" w:hAnsiTheme="majorHAnsi" w:cstheme="majorBidi"/>
          <w:color w:val="2E74B5" w:themeColor="accent1" w:themeShade="BF"/>
          <w:sz w:val="32"/>
          <w:szCs w:val="32"/>
        </w:rPr>
      </w:pPr>
      <w:r>
        <w:br w:type="page"/>
      </w:r>
      <w:bookmarkStart w:id="0" w:name="_GoBack"/>
      <w:bookmarkEnd w:id="0"/>
    </w:p>
    <w:p w14:paraId="3F3F108B" w14:textId="77777777" w:rsidR="00E96538" w:rsidRDefault="00E96538" w:rsidP="00E96538">
      <w:pPr>
        <w:pStyle w:val="Heading1"/>
      </w:pPr>
      <w:bookmarkStart w:id="1" w:name="_Toc104537552"/>
      <w:r>
        <w:lastRenderedPageBreak/>
        <w:t>Introduction</w:t>
      </w:r>
      <w:bookmarkEnd w:id="1"/>
    </w:p>
    <w:p w14:paraId="716A6C33" w14:textId="38CF7153" w:rsidR="00E96538" w:rsidRPr="00371E1A" w:rsidRDefault="00E96538" w:rsidP="003432F3">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Seneca Gaming Corporation</w:t>
      </w:r>
      <w:r w:rsidR="008C6A0B">
        <w:rPr>
          <w:rFonts w:asciiTheme="minorHAnsi" w:hAnsiTheme="minorHAnsi" w:cstheme="minorHAnsi"/>
          <w:color w:val="262626"/>
          <w:sz w:val="22"/>
          <w:szCs w:val="22"/>
        </w:rPr>
        <w:t xml:space="preserve"> (“SGC”)</w:t>
      </w:r>
      <w:r w:rsidRPr="00371E1A">
        <w:rPr>
          <w:rFonts w:asciiTheme="minorHAnsi" w:hAnsiTheme="minorHAnsi" w:cstheme="minorHAnsi"/>
          <w:color w:val="262626"/>
          <w:sz w:val="22"/>
          <w:szCs w:val="22"/>
        </w:rPr>
        <w:t xml:space="preserve"> is a wholly owned, tribally chartered corporation of the Seneca Nation of Indians (the “Nation”) which operates all of the Nation’s Class III gaming operations in Western New York. </w:t>
      </w:r>
    </w:p>
    <w:p w14:paraId="1AC5DA37" w14:textId="37537B1B" w:rsidR="00E96538" w:rsidRPr="00371E1A" w:rsidRDefault="008C6A0B" w:rsidP="003432F3">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Pr>
          <w:rFonts w:asciiTheme="minorHAnsi" w:hAnsiTheme="minorHAnsi" w:cstheme="minorHAnsi"/>
          <w:color w:val="262626"/>
          <w:sz w:val="22"/>
          <w:szCs w:val="22"/>
        </w:rPr>
        <w:t>T</w:t>
      </w:r>
      <w:r w:rsidR="00E96538" w:rsidRPr="00371E1A">
        <w:rPr>
          <w:rFonts w:asciiTheme="minorHAnsi" w:hAnsiTheme="minorHAnsi" w:cstheme="minorHAnsi"/>
          <w:color w:val="262626"/>
          <w:sz w:val="22"/>
          <w:szCs w:val="22"/>
        </w:rPr>
        <w:t xml:space="preserve">hrough its wholly owned subsidiaries, </w:t>
      </w:r>
      <w:r>
        <w:rPr>
          <w:rFonts w:asciiTheme="minorHAnsi" w:hAnsiTheme="minorHAnsi" w:cstheme="minorHAnsi"/>
          <w:color w:val="262626"/>
          <w:sz w:val="22"/>
          <w:szCs w:val="22"/>
        </w:rPr>
        <w:t xml:space="preserve">SGC </w:t>
      </w:r>
      <w:r w:rsidR="00E96538" w:rsidRPr="00371E1A">
        <w:rPr>
          <w:rFonts w:asciiTheme="minorHAnsi" w:hAnsiTheme="minorHAnsi" w:cstheme="minorHAnsi"/>
          <w:color w:val="262626"/>
          <w:sz w:val="22"/>
          <w:szCs w:val="22"/>
        </w:rPr>
        <w:t xml:space="preserve">owns and operates Seneca Niagara Resort &amp; Casino in Niagara Falls, New York, Seneca Allegany Resort &amp; Casino in Salamanca, New York, and Seneca Buffalo Creek Casino in Buffalo, New York. </w:t>
      </w:r>
    </w:p>
    <w:p w14:paraId="335122DC" w14:textId="77777777" w:rsidR="00E96538" w:rsidRDefault="00E96538" w:rsidP="008319F9">
      <w:pPr>
        <w:ind w:left="720"/>
        <w:jc w:val="both"/>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14:paraId="7DF1A479" w14:textId="59D78F3D" w:rsidR="004154E4" w:rsidRPr="004154E4" w:rsidRDefault="00E96538" w:rsidP="004154E4">
      <w:pPr>
        <w:pStyle w:val="Heading1"/>
      </w:pPr>
      <w:bookmarkStart w:id="2" w:name="_Toc104537553"/>
      <w:r>
        <w:t>RFP Objective</w:t>
      </w:r>
      <w:bookmarkEnd w:id="2"/>
    </w:p>
    <w:p w14:paraId="72C6B8F6" w14:textId="77777777" w:rsidR="0066286E" w:rsidRDefault="008C6A0B" w:rsidP="006C3F69">
      <w:pPr>
        <w:spacing w:before="120" w:after="120" w:line="240" w:lineRule="auto"/>
        <w:ind w:left="720"/>
        <w:jc w:val="both"/>
        <w:rPr>
          <w:rFonts w:eastAsia="Times New Roman" w:cstheme="minorHAnsi"/>
        </w:rPr>
      </w:pPr>
      <w:r w:rsidRPr="003432F3">
        <w:rPr>
          <w:rFonts w:eastAsia="Times New Roman" w:cstheme="minorHAnsi"/>
        </w:rPr>
        <w:t>SGC</w:t>
      </w:r>
      <w:r w:rsidR="00E96538" w:rsidRPr="003432F3">
        <w:rPr>
          <w:rFonts w:eastAsia="Times New Roman" w:cstheme="minorHAnsi"/>
          <w:szCs w:val="24"/>
        </w:rPr>
        <w:t xml:space="preserve"> </w:t>
      </w:r>
      <w:r w:rsidR="00E96538" w:rsidRPr="003432F3">
        <w:rPr>
          <w:rFonts w:eastAsia="Times New Roman" w:cstheme="minorHAnsi"/>
        </w:rPr>
        <w:t xml:space="preserve">is seeking qualified </w:t>
      </w:r>
      <w:r w:rsidRPr="003432F3">
        <w:rPr>
          <w:rFonts w:eastAsia="Times New Roman" w:cstheme="minorHAnsi"/>
        </w:rPr>
        <w:t>legal</w:t>
      </w:r>
      <w:r w:rsidR="00E87274" w:rsidRPr="003432F3">
        <w:rPr>
          <w:rFonts w:eastAsia="Times New Roman" w:cstheme="minorHAnsi"/>
        </w:rPr>
        <w:t xml:space="preserve"> </w:t>
      </w:r>
      <w:r w:rsidRPr="003432F3">
        <w:rPr>
          <w:rFonts w:eastAsia="Times New Roman" w:cstheme="minorHAnsi"/>
        </w:rPr>
        <w:t xml:space="preserve">counsel </w:t>
      </w:r>
      <w:r w:rsidR="00A35652" w:rsidRPr="003432F3">
        <w:rPr>
          <w:rFonts w:eastAsia="Times New Roman" w:cstheme="minorHAnsi"/>
        </w:rPr>
        <w:t xml:space="preserve">to </w:t>
      </w:r>
      <w:r w:rsidRPr="003432F3">
        <w:rPr>
          <w:rFonts w:eastAsia="Times New Roman" w:cstheme="minorHAnsi"/>
        </w:rPr>
        <w:t xml:space="preserve">provide </w:t>
      </w:r>
      <w:r w:rsidR="001A15F1" w:rsidRPr="003432F3">
        <w:rPr>
          <w:rFonts w:eastAsia="Times New Roman" w:cstheme="minorHAnsi"/>
        </w:rPr>
        <w:t xml:space="preserve">general advice, counsel and representation on </w:t>
      </w:r>
      <w:r w:rsidRPr="003432F3">
        <w:rPr>
          <w:rFonts w:eastAsia="Times New Roman" w:cstheme="minorHAnsi"/>
        </w:rPr>
        <w:t xml:space="preserve">New York State liquor licensing matters, including </w:t>
      </w:r>
      <w:r w:rsidRPr="008319F9">
        <w:rPr>
          <w:rFonts w:eastAsia="Times New Roman" w:cstheme="minorHAnsi"/>
        </w:rPr>
        <w:t>preparation and</w:t>
      </w:r>
      <w:r w:rsidR="00A35652" w:rsidRPr="008319F9">
        <w:rPr>
          <w:rFonts w:eastAsia="Times New Roman" w:cstheme="minorHAnsi"/>
        </w:rPr>
        <w:t xml:space="preserve"> filing </w:t>
      </w:r>
      <w:r w:rsidRPr="008319F9">
        <w:rPr>
          <w:rFonts w:eastAsia="Times New Roman" w:cstheme="minorHAnsi"/>
        </w:rPr>
        <w:t xml:space="preserve">of </w:t>
      </w:r>
      <w:r w:rsidR="00A35652" w:rsidRPr="008319F9">
        <w:rPr>
          <w:rFonts w:eastAsia="Times New Roman" w:cstheme="minorHAnsi"/>
        </w:rPr>
        <w:t>liquor license applications</w:t>
      </w:r>
      <w:r w:rsidR="00756A5B" w:rsidRPr="008319F9">
        <w:rPr>
          <w:rFonts w:eastAsia="Times New Roman" w:cstheme="minorHAnsi"/>
        </w:rPr>
        <w:t xml:space="preserve"> and</w:t>
      </w:r>
      <w:r w:rsidR="00A35652" w:rsidRPr="008319F9">
        <w:rPr>
          <w:rFonts w:eastAsia="Times New Roman" w:cstheme="minorHAnsi"/>
        </w:rPr>
        <w:t xml:space="preserve"> amendments </w:t>
      </w:r>
      <w:r w:rsidR="00756A5B" w:rsidRPr="008319F9">
        <w:rPr>
          <w:rFonts w:eastAsia="Times New Roman" w:cstheme="minorHAnsi"/>
        </w:rPr>
        <w:t>(</w:t>
      </w:r>
      <w:r w:rsidR="00A35652" w:rsidRPr="008319F9">
        <w:rPr>
          <w:rFonts w:eastAsia="Times New Roman" w:cstheme="minorHAnsi"/>
        </w:rPr>
        <w:t>renewals</w:t>
      </w:r>
      <w:r w:rsidR="00756A5B" w:rsidRPr="008319F9">
        <w:rPr>
          <w:rFonts w:eastAsia="Times New Roman" w:cstheme="minorHAnsi"/>
        </w:rPr>
        <w:t xml:space="preserve"> are currently </w:t>
      </w:r>
      <w:r w:rsidR="00406F3C">
        <w:rPr>
          <w:rFonts w:eastAsia="Times New Roman" w:cstheme="minorHAnsi"/>
        </w:rPr>
        <w:t>prepared</w:t>
      </w:r>
      <w:r w:rsidR="00756A5B" w:rsidRPr="008319F9">
        <w:rPr>
          <w:rFonts w:eastAsia="Times New Roman" w:cstheme="minorHAnsi"/>
        </w:rPr>
        <w:t xml:space="preserve"> in-house</w:t>
      </w:r>
      <w:r w:rsidR="00D40FFD" w:rsidRPr="008319F9">
        <w:rPr>
          <w:rFonts w:eastAsia="Times New Roman" w:cstheme="minorHAnsi"/>
        </w:rPr>
        <w:t>, although this may change in the future</w:t>
      </w:r>
      <w:r w:rsidR="00756A5B" w:rsidRPr="008319F9">
        <w:rPr>
          <w:rFonts w:eastAsia="Times New Roman" w:cstheme="minorHAnsi"/>
        </w:rPr>
        <w:t>)</w:t>
      </w:r>
      <w:r w:rsidR="00A35652" w:rsidRPr="008319F9">
        <w:rPr>
          <w:rFonts w:eastAsia="Times New Roman" w:cstheme="minorHAnsi"/>
        </w:rPr>
        <w:t xml:space="preserve">, </w:t>
      </w:r>
      <w:r w:rsidR="001A15F1" w:rsidRPr="008319F9">
        <w:rPr>
          <w:rFonts w:eastAsia="Times New Roman" w:cstheme="minorHAnsi"/>
        </w:rPr>
        <w:t>and related</w:t>
      </w:r>
      <w:r w:rsidR="004E182E" w:rsidRPr="008319F9">
        <w:rPr>
          <w:rFonts w:eastAsia="Times New Roman" w:cstheme="minorHAnsi"/>
        </w:rPr>
        <w:t xml:space="preserve"> documentation</w:t>
      </w:r>
      <w:r w:rsidR="006C3F69">
        <w:rPr>
          <w:rFonts w:eastAsia="Times New Roman" w:cstheme="minorHAnsi"/>
        </w:rPr>
        <w:t xml:space="preserve">. </w:t>
      </w:r>
    </w:p>
    <w:p w14:paraId="2B14F3AB" w14:textId="3666DC4C" w:rsidR="0066286E" w:rsidRPr="0066286E" w:rsidRDefault="0066286E" w:rsidP="008C4C02">
      <w:pPr>
        <w:pStyle w:val="Heading1"/>
      </w:pPr>
      <w:bookmarkStart w:id="3" w:name="_Toc104537554"/>
      <w:r>
        <w:t>Scope of Services</w:t>
      </w:r>
      <w:bookmarkEnd w:id="3"/>
    </w:p>
    <w:p w14:paraId="4D6EC6E9" w14:textId="3FDD6268" w:rsidR="00406F3C" w:rsidRDefault="00406F3C" w:rsidP="006C3F69">
      <w:pPr>
        <w:spacing w:before="120" w:after="120" w:line="240" w:lineRule="auto"/>
        <w:ind w:left="720"/>
        <w:jc w:val="both"/>
        <w:rPr>
          <w:rFonts w:eastAsia="Times New Roman" w:cstheme="minorHAnsi"/>
        </w:rPr>
      </w:pPr>
      <w:r>
        <w:t>C</w:t>
      </w:r>
      <w:r w:rsidRPr="006F0792">
        <w:t xml:space="preserve">opies of all applications, </w:t>
      </w:r>
      <w:r>
        <w:t>including</w:t>
      </w:r>
      <w:r w:rsidRPr="006F0792">
        <w:t xml:space="preserve"> </w:t>
      </w:r>
      <w:r>
        <w:t xml:space="preserve">ancillary </w:t>
      </w:r>
      <w:r w:rsidRPr="006F0792">
        <w:t>documents</w:t>
      </w:r>
      <w:r>
        <w:t xml:space="preserve">, attachments and exhibits would be prepared and provided to the client.  </w:t>
      </w:r>
      <w:r w:rsidR="004E182E" w:rsidRPr="008319F9">
        <w:rPr>
          <w:rFonts w:eastAsia="Times New Roman" w:cstheme="minorHAnsi"/>
        </w:rPr>
        <w:t xml:space="preserve">Representation may also require </w:t>
      </w:r>
      <w:r w:rsidR="00E02CEE" w:rsidRPr="008319F9">
        <w:rPr>
          <w:rFonts w:eastAsia="Times New Roman" w:cstheme="minorHAnsi"/>
        </w:rPr>
        <w:t>work</w:t>
      </w:r>
      <w:r w:rsidR="004E182E" w:rsidRPr="008319F9">
        <w:rPr>
          <w:rFonts w:eastAsia="Times New Roman" w:cstheme="minorHAnsi"/>
        </w:rPr>
        <w:t>ing</w:t>
      </w:r>
      <w:r w:rsidR="00E02CEE" w:rsidRPr="008319F9">
        <w:rPr>
          <w:rFonts w:eastAsia="Times New Roman" w:cstheme="minorHAnsi"/>
        </w:rPr>
        <w:t xml:space="preserve"> proactively with SGC and the New York State Liquor Authority (SLA) to resolve </w:t>
      </w:r>
      <w:r w:rsidR="004E182E" w:rsidRPr="008319F9">
        <w:rPr>
          <w:rFonts w:eastAsia="Times New Roman" w:cstheme="minorHAnsi"/>
        </w:rPr>
        <w:t xml:space="preserve">documentation, compliance or other </w:t>
      </w:r>
      <w:r w:rsidR="00E02CEE" w:rsidRPr="008319F9">
        <w:rPr>
          <w:rFonts w:eastAsia="Times New Roman" w:cstheme="minorHAnsi"/>
        </w:rPr>
        <w:t xml:space="preserve">issues </w:t>
      </w:r>
      <w:r w:rsidR="004E182E" w:rsidRPr="008319F9">
        <w:rPr>
          <w:rFonts w:eastAsia="Times New Roman" w:cstheme="minorHAnsi"/>
        </w:rPr>
        <w:t xml:space="preserve">as they arise from time-to-time.  </w:t>
      </w:r>
      <w:r w:rsidR="001901EF" w:rsidRPr="008319F9">
        <w:rPr>
          <w:rFonts w:eastAsia="Times New Roman" w:cstheme="minorHAnsi"/>
        </w:rPr>
        <w:t xml:space="preserve"> </w:t>
      </w:r>
    </w:p>
    <w:p w14:paraId="5582D343" w14:textId="239AEBD8" w:rsidR="00F62A06" w:rsidRPr="008319F9" w:rsidRDefault="00F62A06" w:rsidP="008319F9">
      <w:pPr>
        <w:spacing w:before="120" w:after="120" w:line="240" w:lineRule="auto"/>
        <w:ind w:left="720"/>
        <w:jc w:val="both"/>
        <w:rPr>
          <w:rFonts w:eastAsia="Times New Roman" w:cstheme="minorHAnsi"/>
        </w:rPr>
      </w:pPr>
      <w:r w:rsidRPr="008319F9">
        <w:rPr>
          <w:rFonts w:eastAsia="Times New Roman" w:cstheme="minorHAnsi"/>
        </w:rPr>
        <w:t xml:space="preserve">In discharging its duties and obligations to </w:t>
      </w:r>
      <w:r w:rsidR="004E182E" w:rsidRPr="008319F9">
        <w:rPr>
          <w:rFonts w:eastAsia="Times New Roman" w:cstheme="minorHAnsi"/>
        </w:rPr>
        <w:t>SGC</w:t>
      </w:r>
      <w:r w:rsidRPr="008319F9">
        <w:rPr>
          <w:rFonts w:eastAsia="Times New Roman" w:cstheme="minorHAnsi"/>
        </w:rPr>
        <w:t xml:space="preserve">, the selected attorney/law firm will, by extension, be rendering counsel and advice to </w:t>
      </w:r>
      <w:r w:rsidR="004E182E" w:rsidRPr="008319F9">
        <w:rPr>
          <w:rFonts w:eastAsia="Times New Roman" w:cstheme="minorHAnsi"/>
        </w:rPr>
        <w:t xml:space="preserve">subsidiaries </w:t>
      </w:r>
      <w:r w:rsidRPr="008319F9">
        <w:rPr>
          <w:rFonts w:eastAsia="Times New Roman" w:cstheme="minorHAnsi"/>
        </w:rPr>
        <w:t>of SGC which own and operate its various properties and in whose name liquor licenses are issued:</w:t>
      </w:r>
    </w:p>
    <w:p w14:paraId="410CA1EF" w14:textId="5560A445" w:rsidR="00406F3C" w:rsidRPr="00FA1422" w:rsidRDefault="00406F3C" w:rsidP="00406F3C">
      <w:pPr>
        <w:pStyle w:val="ListParagraph"/>
        <w:numPr>
          <w:ilvl w:val="0"/>
          <w:numId w:val="9"/>
        </w:numPr>
        <w:spacing w:before="120" w:after="120" w:line="240" w:lineRule="auto"/>
        <w:jc w:val="both"/>
        <w:rPr>
          <w:rFonts w:eastAsia="Times New Roman" w:cstheme="minorHAnsi"/>
        </w:rPr>
      </w:pPr>
      <w:r w:rsidRPr="00FA1422">
        <w:rPr>
          <w:rFonts w:eastAsia="Times New Roman" w:cstheme="minorHAnsi"/>
        </w:rPr>
        <w:t xml:space="preserve">Seneca Niagara Falls Gaming Corporation, d/b/a Seneca Niagara Resort &amp; </w:t>
      </w:r>
      <w:r>
        <w:rPr>
          <w:rFonts w:eastAsia="Times New Roman" w:cstheme="minorHAnsi"/>
        </w:rPr>
        <w:t xml:space="preserve">Casino; </w:t>
      </w:r>
    </w:p>
    <w:p w14:paraId="5516AEC8" w14:textId="3F28FA5B" w:rsidR="00406F3C" w:rsidRDefault="00F62A06" w:rsidP="008319F9">
      <w:pPr>
        <w:pStyle w:val="ListParagraph"/>
        <w:numPr>
          <w:ilvl w:val="0"/>
          <w:numId w:val="9"/>
        </w:numPr>
        <w:spacing w:before="120" w:after="120" w:line="240" w:lineRule="auto"/>
        <w:jc w:val="both"/>
        <w:rPr>
          <w:rFonts w:eastAsia="Times New Roman" w:cstheme="minorHAnsi"/>
        </w:rPr>
      </w:pPr>
      <w:r w:rsidRPr="008319F9">
        <w:rPr>
          <w:rFonts w:eastAsia="Times New Roman" w:cstheme="minorHAnsi"/>
        </w:rPr>
        <w:t xml:space="preserve">Seneca Territory Gaming Corporation, d/b/a Seneca Allegany </w:t>
      </w:r>
      <w:r w:rsidR="00756A5B" w:rsidRPr="008319F9">
        <w:rPr>
          <w:rFonts w:eastAsia="Times New Roman" w:cstheme="minorHAnsi"/>
        </w:rPr>
        <w:t xml:space="preserve">Resort &amp; </w:t>
      </w:r>
      <w:r w:rsidRPr="008319F9">
        <w:rPr>
          <w:rFonts w:eastAsia="Times New Roman" w:cstheme="minorHAnsi"/>
        </w:rPr>
        <w:t>Casino</w:t>
      </w:r>
      <w:r w:rsidR="00406F3C">
        <w:rPr>
          <w:rFonts w:eastAsia="Times New Roman" w:cstheme="minorHAnsi"/>
        </w:rPr>
        <w:t>;</w:t>
      </w:r>
    </w:p>
    <w:p w14:paraId="00D79D13" w14:textId="129A7961" w:rsidR="00F62A06" w:rsidRPr="008319F9" w:rsidRDefault="00F62A06" w:rsidP="008319F9">
      <w:pPr>
        <w:pStyle w:val="ListParagraph"/>
        <w:numPr>
          <w:ilvl w:val="0"/>
          <w:numId w:val="9"/>
        </w:numPr>
        <w:spacing w:before="120" w:after="120" w:line="240" w:lineRule="auto"/>
        <w:jc w:val="both"/>
        <w:rPr>
          <w:rFonts w:eastAsia="Times New Roman" w:cstheme="minorHAnsi"/>
        </w:rPr>
      </w:pPr>
      <w:r w:rsidRPr="008319F9">
        <w:rPr>
          <w:rFonts w:eastAsia="Times New Roman" w:cstheme="minorHAnsi"/>
        </w:rPr>
        <w:t>Seneca Erie Gaming Corporation, d/b/a/ Seneca Buffalo Creek Casino</w:t>
      </w:r>
      <w:r w:rsidR="00406F3C">
        <w:rPr>
          <w:rFonts w:eastAsia="Times New Roman" w:cstheme="minorHAnsi"/>
        </w:rPr>
        <w:t>; and</w:t>
      </w:r>
    </w:p>
    <w:p w14:paraId="388BC99F" w14:textId="6A81B99C" w:rsidR="00505292" w:rsidRPr="008319F9" w:rsidRDefault="00F62A06" w:rsidP="008319F9">
      <w:pPr>
        <w:pStyle w:val="ListParagraph"/>
        <w:numPr>
          <w:ilvl w:val="0"/>
          <w:numId w:val="9"/>
        </w:numPr>
        <w:spacing w:before="120" w:after="120" w:line="240" w:lineRule="auto"/>
        <w:jc w:val="both"/>
        <w:rPr>
          <w:rFonts w:eastAsia="Times New Roman" w:cstheme="minorHAnsi"/>
        </w:rPr>
      </w:pPr>
      <w:r w:rsidRPr="008319F9">
        <w:rPr>
          <w:rFonts w:eastAsia="Times New Roman" w:cstheme="minorHAnsi"/>
        </w:rPr>
        <w:t>Lewiston Golf Course Corporation, d/b/a Seneca Hickory Stick Golf Course</w:t>
      </w:r>
    </w:p>
    <w:p w14:paraId="67D3B18D" w14:textId="24D30AB7" w:rsidR="00406F3C" w:rsidRDefault="00406F3C" w:rsidP="008319F9">
      <w:pPr>
        <w:spacing w:before="120" w:after="120" w:line="240" w:lineRule="auto"/>
        <w:ind w:left="720"/>
        <w:jc w:val="both"/>
      </w:pPr>
      <w:r>
        <w:rPr>
          <w:b/>
        </w:rPr>
        <w:t xml:space="preserve">PLEASE NOTE:  </w:t>
      </w:r>
      <w:r w:rsidR="00984B8E" w:rsidRPr="008319F9">
        <w:t xml:space="preserve">Interested </w:t>
      </w:r>
      <w:r w:rsidR="004E182E" w:rsidRPr="008319F9">
        <w:t xml:space="preserve">bidders </w:t>
      </w:r>
      <w:r w:rsidR="00984B8E" w:rsidRPr="008319F9">
        <w:t>will be required to tour</w:t>
      </w:r>
      <w:r w:rsidR="0075206D">
        <w:t>,</w:t>
      </w:r>
      <w:r w:rsidR="00984B8E" w:rsidRPr="008319F9">
        <w:t xml:space="preserve"> </w:t>
      </w:r>
      <w:r w:rsidR="0075206D" w:rsidRPr="00754AD6">
        <w:rPr>
          <w:b/>
          <w:bCs/>
        </w:rPr>
        <w:t xml:space="preserve">at </w:t>
      </w:r>
      <w:r w:rsidR="0075206D">
        <w:rPr>
          <w:b/>
          <w:bCs/>
        </w:rPr>
        <w:t>bidders’</w:t>
      </w:r>
      <w:r w:rsidR="0075206D" w:rsidRPr="00754AD6">
        <w:rPr>
          <w:b/>
          <w:bCs/>
        </w:rPr>
        <w:t xml:space="preserve"> expense</w:t>
      </w:r>
      <w:r w:rsidR="0075206D">
        <w:rPr>
          <w:b/>
          <w:bCs/>
        </w:rPr>
        <w:t xml:space="preserve"> (</w:t>
      </w:r>
      <w:r w:rsidR="0075206D" w:rsidRPr="00754AD6">
        <w:rPr>
          <w:b/>
          <w:bCs/>
        </w:rPr>
        <w:t>except for lodging which we will manage</w:t>
      </w:r>
      <w:r w:rsidR="0075206D">
        <w:rPr>
          <w:b/>
          <w:bCs/>
        </w:rPr>
        <w:t>),</w:t>
      </w:r>
      <w:r w:rsidR="0075206D" w:rsidRPr="00406F3C">
        <w:t xml:space="preserve"> </w:t>
      </w:r>
      <w:r w:rsidR="00984B8E" w:rsidRPr="008319F9">
        <w:t xml:space="preserve">our three gaming properties and golf course in </w:t>
      </w:r>
      <w:r w:rsidR="0075206D">
        <w:t xml:space="preserve">the </w:t>
      </w:r>
      <w:r w:rsidR="00984B8E" w:rsidRPr="008319F9">
        <w:t xml:space="preserve">company </w:t>
      </w:r>
      <w:r w:rsidR="0075206D">
        <w:t>of</w:t>
      </w:r>
      <w:r w:rsidR="0075206D" w:rsidRPr="008319F9">
        <w:t xml:space="preserve"> </w:t>
      </w:r>
      <w:r w:rsidR="00984B8E" w:rsidRPr="008319F9">
        <w:t>our F&amp;B director</w:t>
      </w:r>
      <w:r w:rsidR="0075206D">
        <w:t>s</w:t>
      </w:r>
      <w:r w:rsidR="00984B8E" w:rsidRPr="008319F9">
        <w:t>/manager</w:t>
      </w:r>
      <w:r w:rsidR="0075206D">
        <w:t>s</w:t>
      </w:r>
      <w:r w:rsidR="00984B8E" w:rsidRPr="008319F9">
        <w:t xml:space="preserve">. We have large and complex hospitality </w:t>
      </w:r>
      <w:r w:rsidR="00EB7B10" w:rsidRPr="008319F9">
        <w:t>operations;</w:t>
      </w:r>
      <w:r w:rsidR="00984B8E" w:rsidRPr="008319F9">
        <w:t xml:space="preserve"> </w:t>
      </w:r>
      <w:r w:rsidR="005A54B4">
        <w:t xml:space="preserve">we believe </w:t>
      </w:r>
      <w:r w:rsidR="00984B8E" w:rsidRPr="008319F9">
        <w:t xml:space="preserve">it is essential that </w:t>
      </w:r>
      <w:r w:rsidR="001579A7" w:rsidRPr="008319F9">
        <w:t>bidders</w:t>
      </w:r>
      <w:r w:rsidR="00984B8E" w:rsidRPr="008319F9">
        <w:t xml:space="preserve"> </w:t>
      </w:r>
      <w:r w:rsidR="001579A7" w:rsidRPr="008319F9">
        <w:t>understand</w:t>
      </w:r>
      <w:r w:rsidR="00984B8E" w:rsidRPr="008319F9">
        <w:t xml:space="preserve"> the </w:t>
      </w:r>
      <w:r w:rsidR="001579A7" w:rsidRPr="008319F9">
        <w:t xml:space="preserve">scope </w:t>
      </w:r>
      <w:r w:rsidR="00984B8E" w:rsidRPr="008319F9">
        <w:t xml:space="preserve">of our liquor license </w:t>
      </w:r>
      <w:r w:rsidR="001579A7" w:rsidRPr="008319F9">
        <w:t xml:space="preserve">requirements </w:t>
      </w:r>
      <w:r w:rsidR="00984B8E" w:rsidRPr="008319F9">
        <w:t xml:space="preserve">before </w:t>
      </w:r>
      <w:r w:rsidR="001579A7" w:rsidRPr="008319F9">
        <w:t xml:space="preserve">a </w:t>
      </w:r>
      <w:r w:rsidR="00984B8E" w:rsidRPr="008319F9">
        <w:t xml:space="preserve">formal bid is submitted. </w:t>
      </w:r>
    </w:p>
    <w:p w14:paraId="00343CD0" w14:textId="37E60C07" w:rsidR="00675F01" w:rsidRPr="00675F01" w:rsidRDefault="00675F01" w:rsidP="008319F9">
      <w:pPr>
        <w:spacing w:before="120" w:after="120" w:line="240" w:lineRule="auto"/>
        <w:ind w:left="720"/>
        <w:jc w:val="both"/>
      </w:pPr>
      <w:r>
        <w:rPr>
          <w:b/>
        </w:rPr>
        <w:t xml:space="preserve">Additionally, </w:t>
      </w:r>
      <w:r>
        <w:t xml:space="preserve">please note that engagements including mandatory jurisdictional provisions or arbitration are discouraged given the internal approvals and administrative delay they often trigger.  </w:t>
      </w:r>
    </w:p>
    <w:p w14:paraId="65C2A616" w14:textId="590BA453" w:rsidR="00DF0852" w:rsidRPr="00DF0852" w:rsidRDefault="00406F3C" w:rsidP="008319F9">
      <w:pPr>
        <w:spacing w:before="120" w:after="120" w:line="240" w:lineRule="auto"/>
        <w:ind w:left="720"/>
        <w:jc w:val="both"/>
      </w:pPr>
      <w:r w:rsidRPr="00B223EE">
        <w:rPr>
          <w:rFonts w:eastAsia="Times New Roman" w:cstheme="minorHAnsi"/>
        </w:rPr>
        <w:t xml:space="preserve">The selected attorney and/or law firm team must be members in good standing of the Bar of the State of New York and are expected to possess extensive subject matter experience and to demonstrate a high degree of effectiveness in dealing with the SLA. </w:t>
      </w:r>
    </w:p>
    <w:p w14:paraId="776A8536" w14:textId="77777777" w:rsidR="00E96538" w:rsidRDefault="00E96538" w:rsidP="00E96538">
      <w:pPr>
        <w:pStyle w:val="Heading1"/>
      </w:pPr>
      <w:bookmarkStart w:id="4" w:name="_Toc104537555"/>
      <w:r>
        <w:lastRenderedPageBreak/>
        <w:t>RFP Administrative Information</w:t>
      </w:r>
      <w:bookmarkEnd w:id="4"/>
    </w:p>
    <w:p w14:paraId="34A8B6E6" w14:textId="77777777" w:rsidR="00E96538" w:rsidRDefault="00E96538" w:rsidP="008319F9">
      <w:pPr>
        <w:pStyle w:val="Heading2"/>
        <w:spacing w:after="120"/>
      </w:pPr>
      <w:bookmarkStart w:id="5" w:name="_Toc103612867"/>
      <w:bookmarkStart w:id="6" w:name="_Toc103613474"/>
      <w:bookmarkStart w:id="7" w:name="_Toc104537556"/>
      <w:bookmarkEnd w:id="5"/>
      <w:bookmarkEnd w:id="6"/>
      <w:r>
        <w:t>Contact Information</w:t>
      </w:r>
      <w:bookmarkEnd w:id="7"/>
    </w:p>
    <w:p w14:paraId="477D558B" w14:textId="574C3DA6" w:rsidR="00505292" w:rsidRDefault="00E96538" w:rsidP="00C22C04">
      <w:pPr>
        <w:ind w:left="1440"/>
        <w:jc w:val="both"/>
      </w:pPr>
      <w:r>
        <w:t xml:space="preserve">Please use the following name and email address for all correspondence with SGC concerning this RFP.  </w:t>
      </w:r>
      <w:r w:rsidR="00AA30AE">
        <w:t xml:space="preserve">Potential bidders </w:t>
      </w:r>
      <w:r>
        <w:t>who solicit information about this RFP either directly or indirectly from other sources will be disqualified.</w:t>
      </w:r>
    </w:p>
    <w:p w14:paraId="0B04DFE6" w14:textId="77777777" w:rsidR="00E96538" w:rsidRDefault="00E96538" w:rsidP="00E96538">
      <w:pPr>
        <w:ind w:left="720" w:firstLine="720"/>
      </w:pPr>
      <w:r w:rsidRPr="00AB31A0">
        <w:rPr>
          <w:b/>
          <w:u w:val="single"/>
        </w:rPr>
        <w:t>Coordinating Buye</w:t>
      </w:r>
      <w:r w:rsidRPr="00AB31A0">
        <w:rPr>
          <w:u w:val="single"/>
        </w:rPr>
        <w:t>r</w:t>
      </w:r>
      <w:r w:rsidRPr="005D43B5">
        <w:t>:</w:t>
      </w:r>
    </w:p>
    <w:p w14:paraId="550E3A9E" w14:textId="77777777"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05292">
        <w:rPr>
          <w:sz w:val="24"/>
          <w:szCs w:val="24"/>
        </w:rPr>
        <w:t xml:space="preserve">Jason Romine </w:t>
      </w:r>
    </w:p>
    <w:p w14:paraId="1DEBA4DB" w14:textId="77777777" w:rsidR="00505292" w:rsidRDefault="00505292" w:rsidP="00505292">
      <w:pPr>
        <w:spacing w:before="120" w:after="120"/>
        <w:ind w:left="1440" w:firstLine="720"/>
        <w:rPr>
          <w:sz w:val="24"/>
          <w:szCs w:val="24"/>
        </w:rPr>
      </w:pPr>
      <w:r>
        <w:rPr>
          <w:sz w:val="24"/>
          <w:szCs w:val="24"/>
        </w:rPr>
        <w:t>Email</w:t>
      </w:r>
      <w:r w:rsidR="00E96538" w:rsidRPr="00456200">
        <w:rPr>
          <w:sz w:val="24"/>
          <w:szCs w:val="24"/>
        </w:rPr>
        <w:t xml:space="preserve"> </w:t>
      </w:r>
      <w:r w:rsidR="00E96538">
        <w:rPr>
          <w:sz w:val="24"/>
          <w:szCs w:val="24"/>
        </w:rPr>
        <w:tab/>
      </w:r>
      <w:r w:rsidR="00E96538">
        <w:rPr>
          <w:sz w:val="24"/>
          <w:szCs w:val="24"/>
        </w:rPr>
        <w:tab/>
      </w:r>
      <w:r w:rsidR="00E96538">
        <w:rPr>
          <w:sz w:val="24"/>
          <w:szCs w:val="24"/>
        </w:rPr>
        <w:tab/>
      </w:r>
      <w:r>
        <w:rPr>
          <w:sz w:val="24"/>
          <w:szCs w:val="24"/>
        </w:rPr>
        <w:t xml:space="preserve">   </w:t>
      </w:r>
      <w:r>
        <w:rPr>
          <w:sz w:val="24"/>
          <w:szCs w:val="24"/>
        </w:rPr>
        <w:tab/>
      </w:r>
      <w:r w:rsidR="00E96538">
        <w:rPr>
          <w:sz w:val="24"/>
          <w:szCs w:val="24"/>
        </w:rPr>
        <w:tab/>
      </w:r>
      <w:hyperlink r:id="rId12" w:history="1">
        <w:r w:rsidRPr="00FE1E6C">
          <w:rPr>
            <w:rStyle w:val="Hyperlink"/>
            <w:sz w:val="24"/>
            <w:szCs w:val="24"/>
          </w:rPr>
          <w:t>jromine@senecacasinos.com</w:t>
        </w:r>
      </w:hyperlink>
      <w:r>
        <w:rPr>
          <w:sz w:val="24"/>
          <w:szCs w:val="24"/>
        </w:rPr>
        <w:t xml:space="preserve"> </w:t>
      </w:r>
    </w:p>
    <w:p w14:paraId="0E1703D3" w14:textId="77777777" w:rsidR="00E96538" w:rsidRDefault="00E96538" w:rsidP="00E96538">
      <w:pPr>
        <w:pStyle w:val="Heading2"/>
      </w:pPr>
      <w:bookmarkStart w:id="8" w:name="_Toc103613476"/>
      <w:bookmarkStart w:id="9" w:name="_Toc104537557"/>
      <w:bookmarkEnd w:id="8"/>
      <w:r>
        <w:t>Schedule of Events</w:t>
      </w:r>
      <w:bookmarkEnd w:id="9"/>
    </w:p>
    <w:p w14:paraId="23FA7139" w14:textId="68DDAE8C"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D9729F">
        <w:rPr>
          <w:sz w:val="24"/>
          <w:szCs w:val="24"/>
        </w:rPr>
        <w:t>5/27/22</w:t>
      </w:r>
    </w:p>
    <w:p w14:paraId="1B7E21C7" w14:textId="79FB784B" w:rsidR="0066286E" w:rsidRDefault="0066286E" w:rsidP="00E96538">
      <w:pPr>
        <w:spacing w:before="120" w:after="120"/>
        <w:ind w:left="1440" w:firstLine="720"/>
        <w:rPr>
          <w:sz w:val="24"/>
          <w:szCs w:val="24"/>
        </w:rPr>
      </w:pPr>
      <w:r>
        <w:rPr>
          <w:sz w:val="24"/>
          <w:szCs w:val="24"/>
        </w:rPr>
        <w:t xml:space="preserve">Intent to Bid confirmed by: </w:t>
      </w:r>
      <w:r>
        <w:rPr>
          <w:sz w:val="24"/>
          <w:szCs w:val="24"/>
        </w:rPr>
        <w:tab/>
      </w:r>
      <w:r>
        <w:rPr>
          <w:sz w:val="24"/>
          <w:szCs w:val="24"/>
        </w:rPr>
        <w:tab/>
        <w:t>6/6/22</w:t>
      </w:r>
    </w:p>
    <w:p w14:paraId="3F42D1A1" w14:textId="139A5E97" w:rsidR="0066286E" w:rsidRDefault="0066286E" w:rsidP="00E96538">
      <w:pPr>
        <w:spacing w:before="120" w:after="120"/>
        <w:ind w:left="1440" w:firstLine="720"/>
        <w:rPr>
          <w:sz w:val="24"/>
          <w:szCs w:val="24"/>
        </w:rPr>
      </w:pPr>
      <w:r>
        <w:rPr>
          <w:sz w:val="24"/>
          <w:szCs w:val="24"/>
        </w:rPr>
        <w:t xml:space="preserve">Availability for Walkthroughs </w:t>
      </w:r>
    </w:p>
    <w:p w14:paraId="242B7503" w14:textId="2FFDB5B3" w:rsidR="0066286E" w:rsidRDefault="0066286E" w:rsidP="00E96538">
      <w:pPr>
        <w:spacing w:before="120" w:after="120"/>
        <w:ind w:left="1440" w:firstLine="720"/>
        <w:rPr>
          <w:sz w:val="24"/>
          <w:szCs w:val="24"/>
        </w:rPr>
      </w:pPr>
      <w:r>
        <w:rPr>
          <w:sz w:val="24"/>
          <w:szCs w:val="24"/>
        </w:rPr>
        <w:t xml:space="preserve">Confirmed by: </w:t>
      </w:r>
      <w:r>
        <w:rPr>
          <w:sz w:val="24"/>
          <w:szCs w:val="24"/>
        </w:rPr>
        <w:tab/>
      </w:r>
      <w:r>
        <w:rPr>
          <w:sz w:val="24"/>
          <w:szCs w:val="24"/>
        </w:rPr>
        <w:tab/>
      </w:r>
      <w:r>
        <w:rPr>
          <w:sz w:val="24"/>
          <w:szCs w:val="24"/>
        </w:rPr>
        <w:tab/>
      </w:r>
      <w:r>
        <w:rPr>
          <w:sz w:val="24"/>
          <w:szCs w:val="24"/>
        </w:rPr>
        <w:tab/>
        <w:t>6/6/22</w:t>
      </w:r>
    </w:p>
    <w:p w14:paraId="333063AD" w14:textId="63417A76" w:rsidR="0066286E" w:rsidRDefault="0066286E" w:rsidP="00E96538">
      <w:pPr>
        <w:spacing w:before="120" w:after="120"/>
        <w:ind w:left="1440" w:firstLine="720"/>
        <w:rPr>
          <w:sz w:val="24"/>
          <w:szCs w:val="24"/>
        </w:rPr>
      </w:pPr>
      <w:r>
        <w:rPr>
          <w:sz w:val="24"/>
          <w:szCs w:val="24"/>
        </w:rPr>
        <w:t>Bidder site visits:</w:t>
      </w:r>
      <w:r>
        <w:rPr>
          <w:sz w:val="24"/>
          <w:szCs w:val="24"/>
        </w:rPr>
        <w:tab/>
      </w:r>
      <w:r>
        <w:rPr>
          <w:sz w:val="24"/>
          <w:szCs w:val="24"/>
        </w:rPr>
        <w:tab/>
      </w:r>
      <w:r>
        <w:rPr>
          <w:sz w:val="24"/>
          <w:szCs w:val="24"/>
        </w:rPr>
        <w:tab/>
      </w:r>
      <w:r w:rsidR="00315D1F">
        <w:rPr>
          <w:sz w:val="24"/>
          <w:szCs w:val="24"/>
        </w:rPr>
        <w:t>6/13/22</w:t>
      </w:r>
      <w:r>
        <w:rPr>
          <w:sz w:val="24"/>
          <w:szCs w:val="24"/>
        </w:rPr>
        <w:t xml:space="preserve"> to </w:t>
      </w:r>
      <w:r w:rsidR="00315D1F">
        <w:rPr>
          <w:sz w:val="24"/>
          <w:szCs w:val="24"/>
        </w:rPr>
        <w:t>6/17/22</w:t>
      </w:r>
      <w:r>
        <w:rPr>
          <w:sz w:val="24"/>
          <w:szCs w:val="24"/>
        </w:rPr>
        <w:t xml:space="preserve"> </w:t>
      </w:r>
    </w:p>
    <w:p w14:paraId="789098C5" w14:textId="351684E0" w:rsidR="006C3F69" w:rsidRDefault="0066286E" w:rsidP="006C3F69">
      <w:pPr>
        <w:spacing w:before="120" w:after="120"/>
        <w:ind w:left="1440" w:firstLine="720"/>
        <w:rPr>
          <w:sz w:val="24"/>
          <w:szCs w:val="24"/>
        </w:rPr>
      </w:pPr>
      <w:r>
        <w:rPr>
          <w:sz w:val="24"/>
          <w:szCs w:val="24"/>
        </w:rPr>
        <w:t xml:space="preserve">Additional </w:t>
      </w:r>
      <w:r w:rsidR="006C3F69">
        <w:rPr>
          <w:sz w:val="24"/>
          <w:szCs w:val="24"/>
        </w:rPr>
        <w:t>Bidder questions due</w:t>
      </w:r>
      <w:r w:rsidR="006C3F69" w:rsidRPr="00456200">
        <w:rPr>
          <w:sz w:val="24"/>
          <w:szCs w:val="24"/>
        </w:rPr>
        <w:t xml:space="preserve">: </w:t>
      </w:r>
      <w:r w:rsidR="006C3F69">
        <w:rPr>
          <w:sz w:val="24"/>
          <w:szCs w:val="24"/>
        </w:rPr>
        <w:t xml:space="preserve"> </w:t>
      </w:r>
      <w:r w:rsidR="006C3F69">
        <w:rPr>
          <w:sz w:val="24"/>
          <w:szCs w:val="24"/>
        </w:rPr>
        <w:tab/>
        <w:t>6/</w:t>
      </w:r>
      <w:r>
        <w:rPr>
          <w:sz w:val="24"/>
          <w:szCs w:val="24"/>
        </w:rPr>
        <w:t>22</w:t>
      </w:r>
      <w:r w:rsidR="006C3F69">
        <w:rPr>
          <w:sz w:val="24"/>
          <w:szCs w:val="24"/>
        </w:rPr>
        <w:t>/22</w:t>
      </w:r>
    </w:p>
    <w:p w14:paraId="0F6220FB" w14:textId="7DD2E503" w:rsidR="00E96538"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66286E">
        <w:rPr>
          <w:b/>
          <w:sz w:val="24"/>
          <w:szCs w:val="24"/>
        </w:rPr>
        <w:t>Friday July</w:t>
      </w:r>
      <w:r w:rsidR="0066286E">
        <w:rPr>
          <w:b/>
          <w:sz w:val="24"/>
          <w:szCs w:val="24"/>
          <w:vertAlign w:val="superscript"/>
        </w:rPr>
        <w:t xml:space="preserve"> </w:t>
      </w:r>
      <w:r w:rsidR="0066286E">
        <w:rPr>
          <w:b/>
          <w:sz w:val="24"/>
          <w:szCs w:val="24"/>
        </w:rPr>
        <w:t>8th</w:t>
      </w:r>
      <w:r w:rsidR="00CF1D68">
        <w:rPr>
          <w:b/>
          <w:sz w:val="24"/>
          <w:szCs w:val="24"/>
        </w:rPr>
        <w:t>, 2022</w:t>
      </w:r>
      <w:r w:rsidRPr="00AB31A0">
        <w:rPr>
          <w:b/>
          <w:sz w:val="24"/>
          <w:szCs w:val="24"/>
        </w:rPr>
        <w:t xml:space="preserve"> by 5:00 PM Eastern Time</w:t>
      </w:r>
    </w:p>
    <w:p w14:paraId="3B760F6D" w14:textId="2BEF7660" w:rsidR="00315D1F" w:rsidRDefault="00315D1F" w:rsidP="00315D1F">
      <w:pPr>
        <w:pStyle w:val="Heading2"/>
        <w:rPr>
          <w:rFonts w:eastAsia="Times New Roman"/>
        </w:rPr>
      </w:pPr>
      <w:bookmarkStart w:id="10" w:name="_Toc104537558"/>
      <w:r>
        <w:rPr>
          <w:rFonts w:eastAsia="Times New Roman"/>
        </w:rPr>
        <w:t>Intent to Bid &amp; Availability for Demonstrations</w:t>
      </w:r>
      <w:bookmarkEnd w:id="10"/>
      <w:r>
        <w:rPr>
          <w:rFonts w:eastAsia="Times New Roman"/>
        </w:rPr>
        <w:t xml:space="preserve"> </w:t>
      </w:r>
    </w:p>
    <w:p w14:paraId="4948BE28" w14:textId="77777777" w:rsidR="00315D1F" w:rsidRDefault="00315D1F" w:rsidP="00315D1F">
      <w:pPr>
        <w:ind w:left="1440"/>
      </w:pPr>
      <w:r>
        <w:t>Bidders will confirm their intent to bid by the date indicated in the above schedule of events.</w:t>
      </w:r>
    </w:p>
    <w:p w14:paraId="705700C6" w14:textId="0F2BC7EC" w:rsidR="00315D1F" w:rsidRPr="008C4C02" w:rsidRDefault="00315D1F" w:rsidP="008C4C02">
      <w:pPr>
        <w:ind w:left="1440"/>
      </w:pPr>
      <w:r>
        <w:t xml:space="preserve">In addition, property walkthroughs will take place at all </w:t>
      </w:r>
      <w:r w:rsidR="00D97D04">
        <w:t xml:space="preserve">4 </w:t>
      </w:r>
      <w:r>
        <w:t>properties</w:t>
      </w:r>
      <w:r w:rsidR="00710EE5">
        <w:t xml:space="preserve"> (date to be determined but most likely </w:t>
      </w:r>
      <w:r>
        <w:t>from June 13th through June 17</w:t>
      </w:r>
      <w:r w:rsidRPr="008C4C02">
        <w:rPr>
          <w:vertAlign w:val="superscript"/>
        </w:rPr>
        <w:t>th</w:t>
      </w:r>
      <w:r w:rsidR="00710EE5">
        <w:t>)</w:t>
      </w:r>
      <w:r>
        <w:t xml:space="preserve">. Bidders must confirm their availability to be on site during this timeframe by the date indicated in the above schedule of events.  Specific schedule will be confirmed by June 8th.  </w:t>
      </w:r>
      <w:r w:rsidR="00710EE5">
        <w:t>SGC will provide lodging at the Seneca Niagara Resort &amp; Casino the night before the walkthrough, transportation from its Seneca Niagara Resort &amp; Casino to its other properties and back during the day, and food and refreshments during the day. Bidders will meet with SGC’s F&amp;B execs and tour the various places where alcoholic beverages are served.</w:t>
      </w:r>
    </w:p>
    <w:p w14:paraId="7B982D25" w14:textId="30B84CB9" w:rsidR="00E96538" w:rsidRPr="00CC3D40" w:rsidRDefault="00E96538" w:rsidP="00E96538">
      <w:pPr>
        <w:pStyle w:val="Heading2"/>
        <w:rPr>
          <w:rFonts w:eastAsia="Times New Roman"/>
        </w:rPr>
      </w:pPr>
      <w:bookmarkStart w:id="11" w:name="_Toc103612870"/>
      <w:bookmarkStart w:id="12" w:name="_Toc103613478"/>
      <w:bookmarkStart w:id="13" w:name="_Toc103612871"/>
      <w:bookmarkStart w:id="14" w:name="_Toc103613479"/>
      <w:bookmarkStart w:id="15" w:name="_Toc103612872"/>
      <w:bookmarkStart w:id="16" w:name="_Toc103613480"/>
      <w:bookmarkStart w:id="17" w:name="_Toc104537559"/>
      <w:bookmarkEnd w:id="11"/>
      <w:bookmarkEnd w:id="12"/>
      <w:bookmarkEnd w:id="13"/>
      <w:bookmarkEnd w:id="14"/>
      <w:bookmarkEnd w:id="15"/>
      <w:bookmarkEnd w:id="16"/>
      <w:r>
        <w:rPr>
          <w:rFonts w:eastAsia="Times New Roman"/>
        </w:rPr>
        <w:t xml:space="preserve">Bidder </w:t>
      </w:r>
      <w:r w:rsidRPr="00CC3D40">
        <w:rPr>
          <w:rFonts w:eastAsia="Times New Roman"/>
        </w:rPr>
        <w:t>Questions</w:t>
      </w:r>
      <w:bookmarkEnd w:id="17"/>
    </w:p>
    <w:p w14:paraId="1808EFE3" w14:textId="77777777"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14:paraId="29E78C4A" w14:textId="77777777" w:rsidR="00E96538" w:rsidRPr="00371E1A" w:rsidRDefault="00E96538" w:rsidP="008319F9">
      <w:pPr>
        <w:pStyle w:val="ListParagraph"/>
        <w:spacing w:after="240" w:line="240" w:lineRule="auto"/>
        <w:ind w:left="1440"/>
        <w:contextualSpacing w:val="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14:paraId="32FDCEE5" w14:textId="77777777" w:rsidR="00456E00" w:rsidRPr="00CC3D40" w:rsidRDefault="00456E00" w:rsidP="008319F9">
      <w:pPr>
        <w:pStyle w:val="Heading2"/>
        <w:spacing w:after="120"/>
        <w:rPr>
          <w:rFonts w:eastAsia="Times New Roman"/>
        </w:rPr>
      </w:pPr>
      <w:bookmarkStart w:id="18" w:name="_Toc17728971"/>
      <w:bookmarkStart w:id="19" w:name="_Toc104537560"/>
      <w:r w:rsidRPr="00CC3D40">
        <w:rPr>
          <w:rFonts w:eastAsia="Times New Roman"/>
        </w:rPr>
        <w:lastRenderedPageBreak/>
        <w:t>Submission of Proposals</w:t>
      </w:r>
      <w:bookmarkEnd w:id="18"/>
      <w:bookmarkEnd w:id="19"/>
    </w:p>
    <w:p w14:paraId="4DF70321" w14:textId="13C31F72"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406F3C">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14:paraId="183FDDF6" w14:textId="77777777" w:rsidR="00E96538" w:rsidRDefault="00456E00" w:rsidP="008319F9">
      <w:pPr>
        <w:pStyle w:val="ListParagraph"/>
        <w:spacing w:after="24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14:paraId="46FDEC90" w14:textId="77777777" w:rsidR="00834241" w:rsidRDefault="00834241" w:rsidP="008319F9">
      <w:pPr>
        <w:pStyle w:val="Heading2"/>
        <w:spacing w:after="120"/>
        <w:rPr>
          <w:rFonts w:eastAsia="Times New Roman"/>
        </w:rPr>
      </w:pPr>
      <w:bookmarkStart w:id="20" w:name="_Toc103612875"/>
      <w:bookmarkStart w:id="21" w:name="_Toc103613483"/>
      <w:bookmarkStart w:id="22" w:name="_Toc103612876"/>
      <w:bookmarkStart w:id="23" w:name="_Toc103613484"/>
      <w:bookmarkStart w:id="24" w:name="_Toc17728972"/>
      <w:bookmarkStart w:id="25" w:name="_Toc104537561"/>
      <w:bookmarkEnd w:id="20"/>
      <w:bookmarkEnd w:id="21"/>
      <w:bookmarkEnd w:id="22"/>
      <w:bookmarkEnd w:id="23"/>
      <w:r w:rsidRPr="00EE18DD">
        <w:rPr>
          <w:rFonts w:eastAsia="Times New Roman"/>
        </w:rPr>
        <w:t>Proposal Format</w:t>
      </w:r>
      <w:bookmarkEnd w:id="24"/>
      <w:bookmarkEnd w:id="25"/>
    </w:p>
    <w:p w14:paraId="16691ACB" w14:textId="0A77E4AC" w:rsidR="00834241" w:rsidRPr="00371E1A" w:rsidRDefault="00834241" w:rsidP="00834241">
      <w:pPr>
        <w:ind w:left="720" w:firstLine="720"/>
        <w:rPr>
          <w:rFonts w:eastAsia="Times New Roman" w:cstheme="minorHAnsi"/>
        </w:rPr>
      </w:pPr>
      <w:r w:rsidRPr="00436E5F">
        <w:rPr>
          <w:rFonts w:eastAsia="Times New Roman" w:cstheme="minorHAnsi"/>
          <w:b/>
        </w:rPr>
        <w:t xml:space="preserve">Bidder proposals </w:t>
      </w:r>
      <w:r w:rsidR="00406F3C">
        <w:rPr>
          <w:rFonts w:eastAsia="Times New Roman" w:cstheme="minorHAnsi"/>
          <w:b/>
        </w:rPr>
        <w:t>should generally</w:t>
      </w:r>
      <w:r w:rsidR="00406F3C" w:rsidRPr="00436E5F">
        <w:rPr>
          <w:rFonts w:eastAsia="Times New Roman" w:cstheme="minorHAnsi"/>
          <w:b/>
        </w:rPr>
        <w:t xml:space="preserve"> </w:t>
      </w:r>
      <w:r w:rsidRPr="00436E5F">
        <w:rPr>
          <w:rFonts w:eastAsia="Times New Roman" w:cstheme="minorHAnsi"/>
          <w:b/>
        </w:rPr>
        <w:t>conform to the following proposal format</w:t>
      </w:r>
      <w:r w:rsidRPr="00436E5F">
        <w:rPr>
          <w:rFonts w:eastAsia="Times New Roman" w:cstheme="minorHAnsi"/>
        </w:rPr>
        <w:t>:</w:t>
      </w:r>
    </w:p>
    <w:p w14:paraId="5935A65A" w14:textId="07DF2DCA" w:rsidR="00834241" w:rsidRDefault="00834241" w:rsidP="00834241">
      <w:pPr>
        <w:spacing w:after="120"/>
        <w:ind w:left="720" w:firstLine="720"/>
        <w:rPr>
          <w:b/>
          <w:sz w:val="24"/>
          <w:szCs w:val="24"/>
        </w:rPr>
      </w:pPr>
      <w:r>
        <w:rPr>
          <w:b/>
          <w:sz w:val="24"/>
          <w:szCs w:val="24"/>
        </w:rPr>
        <w:t>Part-1</w:t>
      </w:r>
      <w:r>
        <w:rPr>
          <w:b/>
          <w:sz w:val="24"/>
          <w:szCs w:val="24"/>
        </w:rPr>
        <w:tab/>
        <w:t>Overview</w:t>
      </w:r>
      <w:r w:rsidR="005E0E90">
        <w:rPr>
          <w:b/>
          <w:sz w:val="24"/>
          <w:szCs w:val="24"/>
        </w:rPr>
        <w:t xml:space="preserve"> / Executive Summary</w:t>
      </w:r>
    </w:p>
    <w:p w14:paraId="5D324CCB" w14:textId="3CB81A04" w:rsidR="00834241" w:rsidRDefault="00834241" w:rsidP="00834241">
      <w:pPr>
        <w:ind w:left="1440"/>
        <w:jc w:val="both"/>
      </w:pPr>
      <w:r>
        <w:t xml:space="preserve">Provide a brief description of your </w:t>
      </w:r>
      <w:r w:rsidR="00777074">
        <w:t xml:space="preserve">firm </w:t>
      </w:r>
      <w:r>
        <w:t xml:space="preserve">including the location of </w:t>
      </w:r>
      <w:r w:rsidR="00777074">
        <w:t xml:space="preserve">the office(s) where </w:t>
      </w:r>
      <w:r w:rsidR="00D55376">
        <w:t xml:space="preserve">your </w:t>
      </w:r>
      <w:r w:rsidR="00777074">
        <w:t>liquor license attorney(s) practice</w:t>
      </w:r>
      <w:r>
        <w:t xml:space="preserve">, </w:t>
      </w:r>
      <w:r w:rsidR="005E0E90">
        <w:t>and a description</w:t>
      </w:r>
      <w:r w:rsidR="005E0E90" w:rsidRPr="005E0E90">
        <w:t xml:space="preserve"> of the attorney(s) practic</w:t>
      </w:r>
      <w:r w:rsidR="005E0E90">
        <w:t>ing in the liquor license field.</w:t>
      </w:r>
    </w:p>
    <w:p w14:paraId="5ED74263" w14:textId="6D6CC95C" w:rsidR="00834241" w:rsidRPr="008319F9" w:rsidRDefault="00834241">
      <w:pPr>
        <w:spacing w:after="120"/>
        <w:ind w:left="720" w:firstLine="720"/>
        <w:rPr>
          <w:b/>
          <w:sz w:val="24"/>
          <w:szCs w:val="24"/>
        </w:rPr>
      </w:pPr>
      <w:r>
        <w:rPr>
          <w:b/>
          <w:sz w:val="24"/>
          <w:szCs w:val="24"/>
        </w:rPr>
        <w:t xml:space="preserve">Part-2 </w:t>
      </w:r>
      <w:r w:rsidR="005A54B4" w:rsidRPr="008319F9">
        <w:rPr>
          <w:b/>
          <w:sz w:val="24"/>
          <w:szCs w:val="24"/>
        </w:rPr>
        <w:t>Detailed Description of Qualifications and Competitive Differentiation</w:t>
      </w:r>
    </w:p>
    <w:p w14:paraId="031AB56C" w14:textId="2E28B61E" w:rsidR="00834241" w:rsidRDefault="005E0E90" w:rsidP="00834241">
      <w:pPr>
        <w:ind w:left="1440"/>
        <w:jc w:val="both"/>
      </w:pPr>
      <w:r>
        <w:t>Describe in</w:t>
      </w:r>
      <w:r w:rsidR="005A54B4">
        <w:t xml:space="preserve"> greater detail the specific experience of the bidder </w:t>
      </w:r>
      <w:r>
        <w:t xml:space="preserve">(and/or its attorneys) </w:t>
      </w:r>
      <w:r w:rsidR="005A54B4">
        <w:t>in the area of NYS Alcohol</w:t>
      </w:r>
      <w:r w:rsidR="003432F3">
        <w:t>ic</w:t>
      </w:r>
      <w:r w:rsidR="005A54B4">
        <w:t xml:space="preserve"> Beverage </w:t>
      </w:r>
      <w:r w:rsidR="003432F3">
        <w:t>Control Law (“ABC Law”)</w:t>
      </w:r>
      <w:r w:rsidR="00850763">
        <w:t xml:space="preserve"> and regulation</w:t>
      </w:r>
      <w:r w:rsidR="003432F3">
        <w:t>, including experience working with and representing clients before the NYS Liquor Authority</w:t>
      </w:r>
      <w:r>
        <w:t>.</w:t>
      </w:r>
      <w:r w:rsidR="003432F3">
        <w:t xml:space="preserve"> </w:t>
      </w:r>
      <w:r w:rsidR="005A54B4">
        <w:t xml:space="preserve"> </w:t>
      </w:r>
      <w:r w:rsidR="007D4392">
        <w:t xml:space="preserve">The bidder should </w:t>
      </w:r>
      <w:r w:rsidR="00850763">
        <w:t>emphasize</w:t>
      </w:r>
      <w:r w:rsidR="007D4392">
        <w:t xml:space="preserve"> what differentiates it from </w:t>
      </w:r>
      <w:r w:rsidR="00DD244B">
        <w:t>other firms</w:t>
      </w:r>
      <w:r w:rsidR="007D4392">
        <w:t xml:space="preserve">.  </w:t>
      </w:r>
      <w:r w:rsidR="003432F3">
        <w:t>To the extent the bidder has experience representing casinos</w:t>
      </w:r>
      <w:r w:rsidR="007D4392">
        <w:t xml:space="preserve"> or other</w:t>
      </w:r>
      <w:r w:rsidR="003432F3">
        <w:t xml:space="preserve"> gaming businesses</w:t>
      </w:r>
      <w:r w:rsidR="007D4392">
        <w:t>,</w:t>
      </w:r>
      <w:r>
        <w:t xml:space="preserve"> </w:t>
      </w:r>
      <w:r w:rsidR="00DD244B">
        <w:t xml:space="preserve">resort hotels, </w:t>
      </w:r>
      <w:r w:rsidR="007D4392">
        <w:t xml:space="preserve">or </w:t>
      </w:r>
      <w:r>
        <w:t>Native American-owned businesses or enterprises</w:t>
      </w:r>
      <w:r w:rsidR="003432F3">
        <w:t xml:space="preserve"> before the SLA, this should be described.</w:t>
      </w:r>
      <w:r w:rsidR="00DD244B">
        <w:t xml:space="preserve"> </w:t>
      </w:r>
    </w:p>
    <w:p w14:paraId="267F4713" w14:textId="1493A05D" w:rsidR="00834241" w:rsidRPr="00313EAB" w:rsidRDefault="00834241" w:rsidP="00834241">
      <w:pPr>
        <w:spacing w:after="120"/>
        <w:ind w:left="720" w:firstLine="720"/>
        <w:rPr>
          <w:b/>
          <w:sz w:val="24"/>
          <w:szCs w:val="24"/>
        </w:rPr>
      </w:pPr>
      <w:r>
        <w:rPr>
          <w:b/>
          <w:sz w:val="24"/>
          <w:szCs w:val="24"/>
        </w:rPr>
        <w:t>Part-3</w:t>
      </w:r>
      <w:r>
        <w:rPr>
          <w:b/>
          <w:sz w:val="24"/>
          <w:szCs w:val="24"/>
        </w:rPr>
        <w:tab/>
      </w:r>
      <w:r w:rsidR="003432F3">
        <w:rPr>
          <w:b/>
          <w:sz w:val="24"/>
          <w:szCs w:val="24"/>
        </w:rPr>
        <w:t>Billing Rates / Fees</w:t>
      </w:r>
      <w:r>
        <w:rPr>
          <w:b/>
          <w:sz w:val="24"/>
          <w:szCs w:val="24"/>
        </w:rPr>
        <w:t xml:space="preserve"> </w:t>
      </w:r>
    </w:p>
    <w:p w14:paraId="78D6D51F" w14:textId="156E5120" w:rsidR="007D4392" w:rsidRDefault="003432F3" w:rsidP="008319F9">
      <w:pPr>
        <w:ind w:left="1440"/>
        <w:jc w:val="both"/>
      </w:pPr>
      <w:r>
        <w:t xml:space="preserve">The bidder should describe the proposed </w:t>
      </w:r>
      <w:r w:rsidR="00850763">
        <w:t xml:space="preserve">hourly </w:t>
      </w:r>
      <w:r>
        <w:t xml:space="preserve">billing rates or fees for the engagement.  </w:t>
      </w:r>
      <w:r w:rsidR="005E0E90">
        <w:t xml:space="preserve">Proposals for flat </w:t>
      </w:r>
      <w:r w:rsidR="00850763">
        <w:t xml:space="preserve">or hybrid </w:t>
      </w:r>
      <w:r w:rsidR="005E0E90">
        <w:t>rates for the preparation license applications and amendments are strongly encouraged</w:t>
      </w:r>
      <w:r w:rsidR="00850763">
        <w:t xml:space="preserve">.  </w:t>
      </w:r>
    </w:p>
    <w:p w14:paraId="25280124" w14:textId="48E6706C" w:rsidR="003432F3" w:rsidRDefault="003432F3" w:rsidP="008319F9">
      <w:pPr>
        <w:ind w:left="1440"/>
        <w:jc w:val="both"/>
        <w:rPr>
          <w:rStyle w:val="Hyperlink"/>
        </w:rPr>
      </w:pPr>
      <w:r>
        <w:t>Initial rates / pricing are expected to</w:t>
      </w:r>
      <w:r w:rsidR="004E123D">
        <w:t xml:space="preserve"> remain effective for a minimum period of one (1) year from signature of the engagement letter. </w:t>
      </w:r>
      <w:r>
        <w:t xml:space="preserve"> </w:t>
      </w:r>
      <w:r w:rsidR="005E0E90">
        <w:t>Subsequent i</w:t>
      </w:r>
      <w:r w:rsidR="004E123D">
        <w:t xml:space="preserve">ncreases </w:t>
      </w:r>
      <w:r>
        <w:t>are not expected to be more</w:t>
      </w:r>
      <w:r w:rsidR="0077165E">
        <w:t xml:space="preserve"> frequent than annual, </w:t>
      </w:r>
      <w:r w:rsidR="00D40FFD">
        <w:t>with</w:t>
      </w:r>
      <w:r w:rsidR="0077165E">
        <w:t xml:space="preserve"> a maximum </w:t>
      </w:r>
      <w:r w:rsidR="004E123D">
        <w:t xml:space="preserve">rate of </w:t>
      </w:r>
      <w:r w:rsidR="0077165E">
        <w:t xml:space="preserve">increase </w:t>
      </w:r>
      <w:r w:rsidR="00D40FFD">
        <w:t>stipulated</w:t>
      </w:r>
      <w:r w:rsidR="0077165E">
        <w:t>.</w:t>
      </w:r>
      <w:r w:rsidR="00756A5B">
        <w:t xml:space="preserve"> </w:t>
      </w:r>
      <w:r>
        <w:t xml:space="preserve"> </w:t>
      </w:r>
      <w:r w:rsidR="00756A5B">
        <w:t>Government filing fees and other expenses associated with filing applications (if initially borne by the firm</w:t>
      </w:r>
      <w:r w:rsidR="00D40FFD">
        <w:t xml:space="preserve"> rather than paid directly by SGC</w:t>
      </w:r>
      <w:r w:rsidR="00756A5B">
        <w:t xml:space="preserve">) will be reimbursed at cost. Travel expenses, where applicable, are reimbursed in accordance with SGC’s Standard Terms &amp; Conditions, found at </w:t>
      </w:r>
      <w:hyperlink r:id="rId13" w:history="1">
        <w:r w:rsidR="0077165E" w:rsidRPr="0023713C">
          <w:rPr>
            <w:rStyle w:val="Hyperlink"/>
          </w:rPr>
          <w:t>https://senecacasinos.com/media/zqdd2j1f/sgc-standard-terms-and-conditions-v-10-30-20.pdf</w:t>
        </w:r>
      </w:hyperlink>
      <w:r w:rsidR="0077165E">
        <w:rPr>
          <w:rStyle w:val="Hyperlink"/>
        </w:rPr>
        <w:t xml:space="preserve">. </w:t>
      </w:r>
      <w:r w:rsidR="005E0E90">
        <w:rPr>
          <w:rStyle w:val="Hyperlink"/>
        </w:rPr>
        <w:t xml:space="preserve"> </w:t>
      </w:r>
    </w:p>
    <w:p w14:paraId="6C13512E" w14:textId="18CEF1BC" w:rsidR="0077165E" w:rsidRPr="0023713C" w:rsidRDefault="007D4392" w:rsidP="0077165E">
      <w:pPr>
        <w:ind w:left="1440"/>
      </w:pPr>
      <w:r>
        <w:rPr>
          <w:rStyle w:val="Hyperlink"/>
        </w:rPr>
        <w:t xml:space="preserve">Note:  </w:t>
      </w:r>
      <w:r w:rsidR="0077165E">
        <w:rPr>
          <w:rStyle w:val="Hyperlink"/>
        </w:rPr>
        <w:t xml:space="preserve">Unless otherwise </w:t>
      </w:r>
      <w:r w:rsidR="004E123D">
        <w:rPr>
          <w:rStyle w:val="Hyperlink"/>
        </w:rPr>
        <w:t xml:space="preserve">specifically </w:t>
      </w:r>
      <w:r w:rsidR="0077165E">
        <w:rPr>
          <w:rStyle w:val="Hyperlink"/>
        </w:rPr>
        <w:t>agreed to</w:t>
      </w:r>
      <w:r w:rsidR="004E123D">
        <w:rPr>
          <w:rStyle w:val="Hyperlink"/>
        </w:rPr>
        <w:t xml:space="preserve"> in the engagement letter</w:t>
      </w:r>
      <w:r w:rsidR="0077165E">
        <w:rPr>
          <w:rStyle w:val="Hyperlink"/>
        </w:rPr>
        <w:t>, travel time is non-compensable.</w:t>
      </w:r>
      <w:r w:rsidR="001579A7" w:rsidRPr="001579A7">
        <w:t xml:space="preserve"> </w:t>
      </w:r>
    </w:p>
    <w:p w14:paraId="363559AE" w14:textId="36833958" w:rsidR="00834241" w:rsidRPr="008319F9" w:rsidRDefault="00834241" w:rsidP="00834241">
      <w:pPr>
        <w:ind w:left="720" w:firstLine="720"/>
        <w:rPr>
          <w:b/>
          <w:sz w:val="24"/>
          <w:szCs w:val="24"/>
        </w:rPr>
      </w:pPr>
      <w:r w:rsidRPr="008319F9">
        <w:rPr>
          <w:b/>
          <w:sz w:val="24"/>
          <w:szCs w:val="24"/>
        </w:rPr>
        <w:t>Part</w:t>
      </w:r>
      <w:r w:rsidR="003432F3" w:rsidRPr="008319F9">
        <w:rPr>
          <w:b/>
          <w:sz w:val="24"/>
          <w:szCs w:val="24"/>
        </w:rPr>
        <w:t xml:space="preserve"> 4</w:t>
      </w:r>
      <w:r w:rsidRPr="008319F9">
        <w:rPr>
          <w:b/>
          <w:sz w:val="24"/>
          <w:szCs w:val="24"/>
        </w:rPr>
        <w:tab/>
      </w:r>
      <w:r w:rsidR="003432F3" w:rsidRPr="008319F9">
        <w:rPr>
          <w:b/>
          <w:sz w:val="24"/>
          <w:szCs w:val="24"/>
        </w:rPr>
        <w:t>Appendices</w:t>
      </w:r>
    </w:p>
    <w:p w14:paraId="246C349B" w14:textId="0F5846E8" w:rsidR="003432F3" w:rsidRPr="003432F3" w:rsidRDefault="003432F3" w:rsidP="003432F3">
      <w:pPr>
        <w:spacing w:after="120"/>
        <w:ind w:left="720" w:firstLine="720"/>
        <w:rPr>
          <w:u w:val="single"/>
        </w:rPr>
      </w:pPr>
      <w:r>
        <w:rPr>
          <w:u w:val="single"/>
        </w:rPr>
        <w:t xml:space="preserve">Appendix A: </w:t>
      </w:r>
      <w:r w:rsidRPr="003432F3">
        <w:rPr>
          <w:u w:val="single"/>
        </w:rPr>
        <w:t>References</w:t>
      </w:r>
    </w:p>
    <w:p w14:paraId="76A2DB09" w14:textId="041E95F5" w:rsidR="003432F3" w:rsidRPr="00ED6C11" w:rsidRDefault="003432F3" w:rsidP="008319F9">
      <w:pPr>
        <w:spacing w:after="120"/>
        <w:ind w:left="1440"/>
        <w:jc w:val="both"/>
        <w:rPr>
          <w:u w:val="single"/>
        </w:rPr>
      </w:pPr>
      <w:r>
        <w:lastRenderedPageBreak/>
        <w:t>Please i</w:t>
      </w:r>
      <w:r w:rsidRPr="008319F9">
        <w:t xml:space="preserve">nclude a minimum of three current clients for whom the firm has provided similar </w:t>
      </w:r>
      <w:r w:rsidRPr="003432F3">
        <w:t>services</w:t>
      </w:r>
      <w:r w:rsidRPr="008319F9">
        <w:t>, along with contact information for each client reference. Wherever possible, include casino and casino-resort clients in these references.</w:t>
      </w:r>
    </w:p>
    <w:p w14:paraId="5EA2F0B2" w14:textId="4E55F5C2" w:rsidR="00834241" w:rsidRPr="00FB7F88" w:rsidRDefault="00834241" w:rsidP="00834241">
      <w:pPr>
        <w:spacing w:after="120"/>
        <w:ind w:left="720" w:firstLine="720"/>
        <w:rPr>
          <w:u w:val="single"/>
        </w:rPr>
      </w:pPr>
      <w:r w:rsidRPr="00FB7F88">
        <w:rPr>
          <w:u w:val="single"/>
        </w:rPr>
        <w:t>Appendix</w:t>
      </w:r>
      <w:r w:rsidR="003432F3">
        <w:rPr>
          <w:u w:val="single"/>
        </w:rPr>
        <w:t xml:space="preserve"> </w:t>
      </w:r>
      <w:r w:rsidR="007D4392">
        <w:rPr>
          <w:u w:val="single"/>
        </w:rPr>
        <w:t>B</w:t>
      </w:r>
      <w:r w:rsidRPr="00FB7F88">
        <w:rPr>
          <w:u w:val="single"/>
        </w:rPr>
        <w:t xml:space="preserve">:  </w:t>
      </w:r>
      <w:r w:rsidR="003432F3">
        <w:rPr>
          <w:u w:val="single"/>
        </w:rPr>
        <w:t>Form of</w:t>
      </w:r>
      <w:r w:rsidR="003432F3" w:rsidRPr="00FB7F88">
        <w:rPr>
          <w:u w:val="single"/>
        </w:rPr>
        <w:t xml:space="preserve"> </w:t>
      </w:r>
      <w:r w:rsidR="0077165E">
        <w:rPr>
          <w:u w:val="single"/>
        </w:rPr>
        <w:t>Engagement Letter</w:t>
      </w:r>
    </w:p>
    <w:p w14:paraId="49EB5306" w14:textId="52C1FDCD" w:rsidR="007D4392" w:rsidRDefault="00834241" w:rsidP="00834241">
      <w:pPr>
        <w:ind w:left="1440"/>
        <w:jc w:val="both"/>
      </w:pPr>
      <w:r>
        <w:t>Bidders are invited to</w:t>
      </w:r>
      <w:r w:rsidRPr="00961C9F">
        <w:t xml:space="preserve"> include </w:t>
      </w:r>
      <w:r>
        <w:t xml:space="preserve">their standard </w:t>
      </w:r>
      <w:r w:rsidR="0077165E">
        <w:t>engagement letter</w:t>
      </w:r>
      <w:r>
        <w:t xml:space="preserve"> (preferably in Word format) to form the basis of the contract should it be awarded to them. </w:t>
      </w:r>
    </w:p>
    <w:p w14:paraId="2BF8CC89" w14:textId="2C34FC2B" w:rsidR="00834241" w:rsidRDefault="00231B9F" w:rsidP="00834241">
      <w:pPr>
        <w:ind w:left="1440"/>
        <w:jc w:val="both"/>
        <w:rPr>
          <w:u w:val="single"/>
        </w:rPr>
      </w:pPr>
      <w:r w:rsidRPr="0070260F">
        <w:rPr>
          <w:u w:val="single"/>
        </w:rPr>
        <w:t>Appendix C: Insurance</w:t>
      </w:r>
    </w:p>
    <w:p w14:paraId="35132A95" w14:textId="068442FB" w:rsidR="00231B9F" w:rsidRPr="00281D20" w:rsidRDefault="00231B9F" w:rsidP="00231B9F">
      <w:pPr>
        <w:ind w:left="1440"/>
        <w:jc w:val="both"/>
      </w:pPr>
      <w:r>
        <w:t xml:space="preserve">Bidders are to provide, together with their Proposal, evidence of professional liability insurance in the form of an insurance certificate indicating Seneca Gaming Corporation as certificate holder. SGC’s Risk Management Department may require additional </w:t>
      </w:r>
      <w:r w:rsidR="00C047C7">
        <w:t>types of i</w:t>
      </w:r>
      <w:r>
        <w:t xml:space="preserve">nsurance </w:t>
      </w:r>
      <w:r w:rsidR="00C047C7">
        <w:t xml:space="preserve">and/or higher levels of coverage from the successful bidder </w:t>
      </w:r>
      <w:r>
        <w:t xml:space="preserve">following </w:t>
      </w:r>
      <w:r w:rsidR="00C047C7">
        <w:t xml:space="preserve">the </w:t>
      </w:r>
      <w:r>
        <w:t>award of contract</w:t>
      </w:r>
      <w:r w:rsidR="00C047C7">
        <w:t>, including, where applicable, SGC and related entities as additional insured on certain policies with waiver of subrogation and notice of cancellation</w:t>
      </w:r>
      <w:r>
        <w:t>.</w:t>
      </w:r>
    </w:p>
    <w:p w14:paraId="07BACB40" w14:textId="4FD8C871" w:rsidR="00231B9F" w:rsidRDefault="00C67E15" w:rsidP="00834241">
      <w:pPr>
        <w:ind w:left="1440"/>
        <w:jc w:val="both"/>
        <w:rPr>
          <w:u w:val="single"/>
        </w:rPr>
      </w:pPr>
      <w:r>
        <w:rPr>
          <w:u w:val="single"/>
        </w:rPr>
        <w:t>Appendix D: List of related entities for conflicts search.</w:t>
      </w:r>
    </w:p>
    <w:p w14:paraId="4A8E6EB7" w14:textId="63FBA2BE" w:rsidR="00C67E15" w:rsidRPr="0070260F" w:rsidRDefault="00C67E15" w:rsidP="00834241">
      <w:pPr>
        <w:ind w:left="1440"/>
        <w:jc w:val="both"/>
        <w:rPr>
          <w:u w:val="single"/>
        </w:rPr>
      </w:pPr>
      <w:r>
        <w:rPr>
          <w:u w:val="single"/>
        </w:rPr>
        <w:t>See attached</w:t>
      </w:r>
      <w:r w:rsidR="00144190">
        <w:rPr>
          <w:u w:val="single"/>
        </w:rPr>
        <w:t xml:space="preserve"> word document</w:t>
      </w:r>
      <w:r>
        <w:rPr>
          <w:u w:val="single"/>
        </w:rPr>
        <w:t>.</w:t>
      </w:r>
    </w:p>
    <w:p w14:paraId="02CB5E84" w14:textId="4178D42A" w:rsidR="00E96538" w:rsidRPr="00325DC1" w:rsidRDefault="00E96538" w:rsidP="008319F9">
      <w:pPr>
        <w:pStyle w:val="Heading2"/>
        <w:spacing w:after="120"/>
        <w:rPr>
          <w:rFonts w:eastAsia="Times New Roman"/>
        </w:rPr>
      </w:pPr>
      <w:bookmarkStart w:id="26" w:name="_Toc104537562"/>
      <w:r w:rsidRPr="00325DC1">
        <w:rPr>
          <w:rFonts w:eastAsia="Times New Roman"/>
        </w:rPr>
        <w:t>Propo</w:t>
      </w:r>
      <w:r>
        <w:rPr>
          <w:rFonts w:eastAsia="Times New Roman"/>
        </w:rPr>
        <w:t>sal Evaluation/Vendor Selection</w:t>
      </w:r>
      <w:bookmarkEnd w:id="26"/>
    </w:p>
    <w:p w14:paraId="41D51155" w14:textId="77777777" w:rsidR="00DD244B"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r w:rsidR="00DD244B">
        <w:t xml:space="preserve"> </w:t>
      </w:r>
    </w:p>
    <w:p w14:paraId="4EF5B103" w14:textId="52156769" w:rsidR="00E96538" w:rsidRPr="00294673" w:rsidRDefault="00DD244B" w:rsidP="00E96538">
      <w:pPr>
        <w:spacing w:after="120" w:line="240" w:lineRule="auto"/>
        <w:ind w:left="1440"/>
        <w:jc w:val="both"/>
      </w:pPr>
      <w:r>
        <w:t xml:space="preserve">Preference will be given to Proposals demonstrating (a) Bidder’s specific experience and capabilities particularly relevant to SGC’s business operations as well as to its status as a wholly-owned entity of the Seneca Nation; (b) </w:t>
      </w:r>
      <w:r w:rsidR="00FE3A2A">
        <w:t>Proposals</w:t>
      </w:r>
      <w:r>
        <w:t xml:space="preserve"> providing for flat or hybrid fees for liquor license applications and amendments; and (</w:t>
      </w:r>
      <w:r w:rsidR="002C3FFE">
        <w:t>c</w:t>
      </w:r>
      <w:r>
        <w:t xml:space="preserve">) </w:t>
      </w:r>
      <w:r w:rsidR="00FE3A2A">
        <w:t xml:space="preserve">Minority Bidders (see </w:t>
      </w:r>
      <w:r w:rsidR="00231B9F">
        <w:t>paragraph G below)</w:t>
      </w:r>
      <w:r>
        <w:t>.</w:t>
      </w:r>
    </w:p>
    <w:p w14:paraId="4294AFBC" w14:textId="4DAEFFD4"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w:t>
      </w:r>
      <w:r w:rsidR="0077165E">
        <w:t xml:space="preserve">completion of SGC’s Vendor Registration Form and W-9, </w:t>
      </w:r>
      <w:r w:rsidRPr="00294673">
        <w:t xml:space="preserve">providing proof of insurance to the satisfaction of SGC’s Risk Management Department, and signature of </w:t>
      </w:r>
      <w:r w:rsidR="0077165E">
        <w:t>an engagement letter</w:t>
      </w:r>
      <w:r w:rsidRPr="00294673">
        <w:t xml:space="preserve">. It is only following all of these actions that the successful Bidder will be considered </w:t>
      </w:r>
      <w:r w:rsidR="0077165E">
        <w:t>to have been engaged</w:t>
      </w:r>
      <w:r w:rsidRPr="00294673">
        <w:t xml:space="preserve">. </w:t>
      </w:r>
    </w:p>
    <w:p w14:paraId="49090229" w14:textId="727DCFBB" w:rsidR="007D4392" w:rsidRDefault="00E96538" w:rsidP="00E96538">
      <w:pPr>
        <w:spacing w:after="120" w:line="240" w:lineRule="auto"/>
        <w:ind w:left="1440"/>
        <w:jc w:val="both"/>
      </w:pPr>
      <w:r w:rsidRPr="00294673">
        <w:t>Successful Bidders must complete SGC’s Vendor Registration Form and W-9</w:t>
      </w:r>
      <w:r w:rsidR="0077165E">
        <w:t>.</w:t>
      </w:r>
      <w:r w:rsidRPr="00294673">
        <w:t xml:space="preserve"> </w:t>
      </w:r>
      <w:r w:rsidR="0077165E" w:rsidRPr="00294673">
        <w:t>Th</w:t>
      </w:r>
      <w:r w:rsidR="0077165E">
        <w:t>is</w:t>
      </w:r>
      <w:r w:rsidR="0077165E" w:rsidRPr="00294673">
        <w:t xml:space="preserve"> </w:t>
      </w:r>
      <w:r w:rsidRPr="00294673">
        <w:t xml:space="preserve">requirement must be completed prior to signature of the </w:t>
      </w:r>
      <w:r w:rsidR="00B466DF">
        <w:t>engagement letter</w:t>
      </w:r>
      <w:r w:rsidRPr="00294673">
        <w:t>.</w:t>
      </w:r>
    </w:p>
    <w:p w14:paraId="5D26A280" w14:textId="5B043E80" w:rsidR="00E96538" w:rsidRPr="00294673" w:rsidRDefault="00E96538" w:rsidP="00E96538">
      <w:pPr>
        <w:spacing w:after="120" w:line="240" w:lineRule="auto"/>
        <w:ind w:left="1440"/>
        <w:jc w:val="both"/>
      </w:pPr>
    </w:p>
    <w:p w14:paraId="2E34F539" w14:textId="4CDEA81D" w:rsidR="00E96538" w:rsidRDefault="00E96538" w:rsidP="008319F9">
      <w:pPr>
        <w:pStyle w:val="Heading2"/>
        <w:spacing w:after="120"/>
        <w:rPr>
          <w:rFonts w:eastAsia="Times New Roman"/>
        </w:rPr>
      </w:pPr>
      <w:bookmarkStart w:id="27" w:name="_Toc104537563"/>
      <w:r>
        <w:rPr>
          <w:rFonts w:eastAsia="Times New Roman"/>
        </w:rPr>
        <w:t xml:space="preserve">General </w:t>
      </w:r>
      <w:r w:rsidR="0075206D">
        <w:rPr>
          <w:rFonts w:eastAsia="Times New Roman"/>
        </w:rPr>
        <w:t>Terms</w:t>
      </w:r>
      <w:bookmarkEnd w:id="27"/>
    </w:p>
    <w:p w14:paraId="09283809" w14:textId="292E0583" w:rsidR="00850763" w:rsidRPr="008319F9" w:rsidRDefault="00850763" w:rsidP="00E96538">
      <w:pPr>
        <w:spacing w:after="120" w:line="240" w:lineRule="auto"/>
        <w:ind w:left="1440"/>
        <w:jc w:val="both"/>
      </w:pPr>
      <w:r>
        <w:rPr>
          <w:u w:val="single"/>
        </w:rPr>
        <w:t>Conflicts</w:t>
      </w:r>
      <w:r>
        <w:t xml:space="preserve">.  For purposes of addressing potential conflicts of interest, a list of SGC subsidiaries and affiliates is attached as </w:t>
      </w:r>
      <w:r>
        <w:rPr>
          <w:u w:val="single"/>
        </w:rPr>
        <w:t>Exhibit B</w:t>
      </w:r>
      <w:r>
        <w:t xml:space="preserve">. </w:t>
      </w:r>
    </w:p>
    <w:p w14:paraId="40B054B0" w14:textId="14E444CB" w:rsidR="00E96538" w:rsidRPr="00EA5550" w:rsidRDefault="0075206D" w:rsidP="00E96538">
      <w:pPr>
        <w:spacing w:after="120" w:line="240" w:lineRule="auto"/>
        <w:ind w:left="1440"/>
        <w:jc w:val="both"/>
      </w:pPr>
      <w:r>
        <w:rPr>
          <w:u w:val="single"/>
        </w:rPr>
        <w:t xml:space="preserve">Effect of </w:t>
      </w:r>
      <w:r w:rsidRPr="0075206D">
        <w:rPr>
          <w:u w:val="single"/>
        </w:rPr>
        <w:t>RFP</w:t>
      </w:r>
      <w:r>
        <w:t xml:space="preserve">.  </w:t>
      </w:r>
      <w:r w:rsidR="00E96538" w:rsidRPr="0075206D">
        <w:t>This</w:t>
      </w:r>
      <w:r w:rsidR="00E96538" w:rsidRPr="00EA5550">
        <w:t xml:space="preserve"> RFP does not commit SGC to award a contract, to pay any costs incurred in the preparation of the RFP, nor to procure or contract for </w:t>
      </w:r>
      <w:r w:rsidR="007D4392">
        <w:t xml:space="preserve">goods or </w:t>
      </w:r>
      <w:r w:rsidR="00E96538" w:rsidRPr="00EA5550">
        <w:t>services.</w:t>
      </w:r>
    </w:p>
    <w:p w14:paraId="47ADBAA1" w14:textId="186EED7A" w:rsidR="00E96538" w:rsidRPr="00EA5550" w:rsidRDefault="0075206D" w:rsidP="00E96538">
      <w:pPr>
        <w:spacing w:after="120" w:line="240" w:lineRule="auto"/>
        <w:ind w:left="1440"/>
        <w:jc w:val="both"/>
      </w:pPr>
      <w:r>
        <w:rPr>
          <w:u w:val="single"/>
        </w:rPr>
        <w:lastRenderedPageBreak/>
        <w:t xml:space="preserve">Confidentiality of </w:t>
      </w:r>
      <w:r w:rsidRPr="0075206D">
        <w:rPr>
          <w:u w:val="single"/>
        </w:rPr>
        <w:t>Proposals</w:t>
      </w:r>
      <w:r>
        <w:t xml:space="preserve">.  </w:t>
      </w:r>
      <w:r w:rsidR="00E96538" w:rsidRPr="0075206D">
        <w:t>It</w:t>
      </w:r>
      <w:r w:rsidR="00E96538" w:rsidRPr="00EA5550">
        <w:t xml:space="preserve"> is the policy of SGC that all Proposals are to be held unopened and confidential until after the closing date and time.  At the bid opening, Proposals will be opened by the contact Coordinating Buyer and are reviewed by a compliance representative.  </w:t>
      </w:r>
    </w:p>
    <w:p w14:paraId="6EDD9265" w14:textId="77777777"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14:paraId="454619B6" w14:textId="1779875E"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w:t>
      </w:r>
      <w:r w:rsidR="0075206D">
        <w:rPr>
          <w:rFonts w:eastAsia="Times New Roman" w:cstheme="minorHAnsi"/>
        </w:rPr>
        <w:t>may give preference</w:t>
      </w:r>
      <w:r w:rsidRPr="00EA5550">
        <w:rPr>
          <w:rFonts w:eastAsia="Times New Roman" w:cstheme="minorHAnsi"/>
        </w:rPr>
        <w:t xml:space="preserve"> to </w:t>
      </w:r>
      <w:r w:rsidR="0075206D">
        <w:rPr>
          <w:rFonts w:eastAsia="Times New Roman" w:cstheme="minorHAnsi"/>
        </w:rPr>
        <w:t>b</w:t>
      </w:r>
      <w:r w:rsidR="0075206D" w:rsidRPr="00EA5550">
        <w:rPr>
          <w:rFonts w:eastAsia="Times New Roman" w:cstheme="minorHAnsi"/>
        </w:rPr>
        <w:t xml:space="preserve">idders </w:t>
      </w:r>
      <w:r w:rsidRPr="00EA5550">
        <w:rPr>
          <w:rFonts w:eastAsia="Times New Roman" w:cstheme="minorHAnsi"/>
        </w:rPr>
        <w:t xml:space="preserve">who are Native American, minority, women-owned or small disadvantaged businesses. If your </w:t>
      </w:r>
      <w:r w:rsidR="00B466DF">
        <w:rPr>
          <w:rFonts w:eastAsia="Times New Roman" w:cstheme="minorHAnsi"/>
        </w:rPr>
        <w:t xml:space="preserve">firm </w:t>
      </w:r>
      <w:r w:rsidRPr="00EA5550">
        <w:rPr>
          <w:rFonts w:eastAsia="Times New Roman" w:cstheme="minorHAnsi"/>
        </w:rPr>
        <w:t>falls into any of these categories, please note as such on your proposal.</w:t>
      </w:r>
    </w:p>
    <w:p w14:paraId="3D1452BD" w14:textId="4439F6AD" w:rsidR="00E96538" w:rsidRPr="00060A6C" w:rsidRDefault="0075206D" w:rsidP="008319F9">
      <w:pPr>
        <w:spacing w:before="240" w:after="0" w:line="240" w:lineRule="auto"/>
        <w:jc w:val="both"/>
        <w:rPr>
          <w:rFonts w:eastAsia="Times New Roman" w:cstheme="minorHAnsi"/>
          <w:b/>
          <w:sz w:val="24"/>
          <w:szCs w:val="24"/>
        </w:rPr>
      </w:pPr>
      <w:bookmarkStart w:id="28" w:name="_Toc103608716"/>
      <w:bookmarkStart w:id="29" w:name="_Toc103608717"/>
      <w:bookmarkStart w:id="30" w:name="_Toc103608718"/>
      <w:bookmarkStart w:id="31" w:name="_Toc103608719"/>
      <w:bookmarkStart w:id="32" w:name="_Toc103608720"/>
      <w:bookmarkStart w:id="33" w:name="_Toc103608724"/>
      <w:bookmarkStart w:id="34" w:name="_Toc103608725"/>
      <w:bookmarkStart w:id="35" w:name="_Toc103608727"/>
      <w:bookmarkStart w:id="36" w:name="_Toc103608728"/>
      <w:bookmarkStart w:id="37" w:name="_Toc103608729"/>
      <w:bookmarkStart w:id="38" w:name="_Toc103608730"/>
      <w:bookmarkStart w:id="39" w:name="_Toc103608733"/>
      <w:bookmarkStart w:id="40" w:name="_Toc103608734"/>
      <w:bookmarkStart w:id="41" w:name="_Toc103608735"/>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eastAsia="Times New Roman" w:cstheme="minorHAnsi"/>
          <w:b/>
          <w:sz w:val="24"/>
          <w:szCs w:val="24"/>
        </w:rPr>
        <w:t xml:space="preserve">The undersigned </w:t>
      </w:r>
      <w:r w:rsidRPr="0075206D">
        <w:rPr>
          <w:rFonts w:eastAsia="Times New Roman" w:cstheme="minorHAnsi"/>
          <w:b/>
          <w:sz w:val="24"/>
          <w:szCs w:val="24"/>
        </w:rPr>
        <w:t>represents and warrants that all statements, information and representations prepared and submitted in response to this RFP are current, complete, true and accurate as of the date of submission</w:t>
      </w:r>
      <w:r w:rsidR="00E96538" w:rsidRPr="00060A6C">
        <w:rPr>
          <w:rFonts w:eastAsia="Times New Roman" w:cstheme="minorHAnsi"/>
          <w:b/>
          <w:sz w:val="24"/>
          <w:szCs w:val="24"/>
        </w:rPr>
        <w:t>:</w:t>
      </w:r>
    </w:p>
    <w:p w14:paraId="4FB6EBDC" w14:textId="77777777" w:rsidR="0077626A" w:rsidRDefault="0077626A" w:rsidP="008319F9">
      <w:pPr>
        <w:spacing w:before="240" w:after="20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14:paraId="37833089"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14:paraId="3EE9DAE6"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14:paraId="2C7F8F4F" w14:textId="77777777" w:rsidR="0077626A" w:rsidRDefault="0077626A" w:rsidP="008319F9">
      <w:pPr>
        <w:spacing w:after="20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14:paraId="34A996CD"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14:paraId="690B0CCA"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14:paraId="67F684CF"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14:paraId="7751FAD2"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14:paraId="1F1053A3" w14:textId="77777777" w:rsidR="0077626A" w:rsidRDefault="0077626A" w:rsidP="008319F9">
      <w:pPr>
        <w:spacing w:after="20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14:paraId="52D4A3CB" w14:textId="709CA923" w:rsidR="004D6DE4" w:rsidRDefault="0077626A" w:rsidP="008319F9">
      <w:pPr>
        <w:spacing w:before="280" w:after="20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E96538" w:rsidRPr="000D7C57">
        <w:rPr>
          <w:rFonts w:eastAsia="Times New Roman" w:cstheme="minorHAnsi"/>
          <w:sz w:val="24"/>
          <w:szCs w:val="24"/>
        </w:rPr>
        <w:tab/>
      </w:r>
      <w:r w:rsidR="00E96538">
        <w:rPr>
          <w:rFonts w:ascii="Georgia" w:eastAsia="Times New Roman" w:hAnsi="Georgia" w:cs="Times New Roman"/>
        </w:rPr>
        <w:tab/>
      </w:r>
      <w:r w:rsidR="004D6DE4">
        <w:rPr>
          <w:rFonts w:ascii="Georgia" w:eastAsia="Times New Roman" w:hAnsi="Georgia" w:cs="Times New Roman"/>
        </w:rPr>
        <w:tab/>
      </w:r>
    </w:p>
    <w:p w14:paraId="03174254" w14:textId="54182878" w:rsidR="00C67E15" w:rsidRPr="004D6DE4" w:rsidRDefault="00C67E15" w:rsidP="00144190">
      <w:pPr>
        <w:rPr>
          <w:rFonts w:ascii="Georgia" w:eastAsia="Times New Roman" w:hAnsi="Georgia" w:cs="Times New Roman"/>
        </w:rPr>
      </w:pPr>
    </w:p>
    <w:sectPr w:rsidR="00C67E15" w:rsidRPr="004D6DE4"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A2F4" w14:textId="77777777" w:rsidR="0019471B" w:rsidRDefault="0019471B">
      <w:pPr>
        <w:spacing w:after="0" w:line="240" w:lineRule="auto"/>
      </w:pPr>
      <w:r>
        <w:separator/>
      </w:r>
    </w:p>
  </w:endnote>
  <w:endnote w:type="continuationSeparator" w:id="0">
    <w:p w14:paraId="644D8158" w14:textId="77777777" w:rsidR="0019471B" w:rsidRDefault="0019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14:paraId="729236B1" w14:textId="1BF5AC13" w:rsidR="008C6A0B" w:rsidRDefault="008C6A0B"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6C11">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D817" w14:textId="77777777" w:rsidR="0019471B" w:rsidRDefault="0019471B">
      <w:pPr>
        <w:spacing w:after="0" w:line="240" w:lineRule="auto"/>
      </w:pPr>
      <w:r>
        <w:separator/>
      </w:r>
    </w:p>
  </w:footnote>
  <w:footnote w:type="continuationSeparator" w:id="0">
    <w:p w14:paraId="5038C0EF" w14:textId="77777777" w:rsidR="0019471B" w:rsidRDefault="00194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3E2E77"/>
    <w:multiLevelType w:val="hybridMultilevel"/>
    <w:tmpl w:val="91F61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80E3A"/>
    <w:multiLevelType w:val="hybridMultilevel"/>
    <w:tmpl w:val="63B458EA"/>
    <w:lvl w:ilvl="0" w:tplc="78F4975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FFD3ABB"/>
    <w:multiLevelType w:val="hybridMultilevel"/>
    <w:tmpl w:val="97BCA104"/>
    <w:lvl w:ilvl="0" w:tplc="2CCA93AC">
      <w:numFmt w:val="bullet"/>
      <w:lvlText w:val=""/>
      <w:lvlJc w:val="left"/>
      <w:pPr>
        <w:ind w:left="1080" w:hanging="360"/>
      </w:pPr>
      <w:rPr>
        <w:rFonts w:ascii="Symbol" w:eastAsia="Times New Roman" w:hAnsi="Symbol"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5"/>
  </w:num>
  <w:num w:numId="6">
    <w:abstractNumId w:val="0"/>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79BC"/>
    <w:rsid w:val="000F167D"/>
    <w:rsid w:val="001363D7"/>
    <w:rsid w:val="00141CA3"/>
    <w:rsid w:val="00144190"/>
    <w:rsid w:val="001579A7"/>
    <w:rsid w:val="00184568"/>
    <w:rsid w:val="001901EF"/>
    <w:rsid w:val="0019471B"/>
    <w:rsid w:val="001A15F1"/>
    <w:rsid w:val="001D081C"/>
    <w:rsid w:val="00205AA7"/>
    <w:rsid w:val="002127C5"/>
    <w:rsid w:val="0022538B"/>
    <w:rsid w:val="0023137E"/>
    <w:rsid w:val="00231B9F"/>
    <w:rsid w:val="00232036"/>
    <w:rsid w:val="0023713C"/>
    <w:rsid w:val="00237E51"/>
    <w:rsid w:val="002B5B6F"/>
    <w:rsid w:val="002C3FFE"/>
    <w:rsid w:val="00315D1F"/>
    <w:rsid w:val="00341693"/>
    <w:rsid w:val="003432F3"/>
    <w:rsid w:val="00362B7B"/>
    <w:rsid w:val="003E25F2"/>
    <w:rsid w:val="00406F3C"/>
    <w:rsid w:val="004154E4"/>
    <w:rsid w:val="00436E5F"/>
    <w:rsid w:val="00456E00"/>
    <w:rsid w:val="00457F12"/>
    <w:rsid w:val="00470E46"/>
    <w:rsid w:val="004C377E"/>
    <w:rsid w:val="004D32F5"/>
    <w:rsid w:val="004D6DE4"/>
    <w:rsid w:val="004E123D"/>
    <w:rsid w:val="004E182E"/>
    <w:rsid w:val="004F2163"/>
    <w:rsid w:val="00505292"/>
    <w:rsid w:val="00552CA9"/>
    <w:rsid w:val="005744CE"/>
    <w:rsid w:val="005A54B4"/>
    <w:rsid w:val="005C793A"/>
    <w:rsid w:val="005E0E90"/>
    <w:rsid w:val="005F1D98"/>
    <w:rsid w:val="0066286E"/>
    <w:rsid w:val="00675F01"/>
    <w:rsid w:val="006A381D"/>
    <w:rsid w:val="006A7F0E"/>
    <w:rsid w:val="006C3F69"/>
    <w:rsid w:val="0070260F"/>
    <w:rsid w:val="00710EE5"/>
    <w:rsid w:val="00721F33"/>
    <w:rsid w:val="00727C04"/>
    <w:rsid w:val="0075206D"/>
    <w:rsid w:val="00756A5B"/>
    <w:rsid w:val="0077165E"/>
    <w:rsid w:val="0077626A"/>
    <w:rsid w:val="00777074"/>
    <w:rsid w:val="00797277"/>
    <w:rsid w:val="007A37DD"/>
    <w:rsid w:val="007B30A6"/>
    <w:rsid w:val="007D4392"/>
    <w:rsid w:val="007F794E"/>
    <w:rsid w:val="00806F87"/>
    <w:rsid w:val="008319F9"/>
    <w:rsid w:val="00834241"/>
    <w:rsid w:val="00844DA9"/>
    <w:rsid w:val="00850763"/>
    <w:rsid w:val="008537CA"/>
    <w:rsid w:val="008A70E4"/>
    <w:rsid w:val="008B353C"/>
    <w:rsid w:val="008C4C02"/>
    <w:rsid w:val="008C6A0B"/>
    <w:rsid w:val="008E7A68"/>
    <w:rsid w:val="009325FF"/>
    <w:rsid w:val="00984B8E"/>
    <w:rsid w:val="009D2F2D"/>
    <w:rsid w:val="009D5513"/>
    <w:rsid w:val="009E54A0"/>
    <w:rsid w:val="00A35652"/>
    <w:rsid w:val="00A571CA"/>
    <w:rsid w:val="00A66CA8"/>
    <w:rsid w:val="00A820DD"/>
    <w:rsid w:val="00AA30AE"/>
    <w:rsid w:val="00B0261D"/>
    <w:rsid w:val="00B04250"/>
    <w:rsid w:val="00B466DF"/>
    <w:rsid w:val="00BF27B2"/>
    <w:rsid w:val="00C047C7"/>
    <w:rsid w:val="00C22C04"/>
    <w:rsid w:val="00C60AFF"/>
    <w:rsid w:val="00C634BC"/>
    <w:rsid w:val="00C67E15"/>
    <w:rsid w:val="00C74DDB"/>
    <w:rsid w:val="00CB6BAC"/>
    <w:rsid w:val="00CF1D68"/>
    <w:rsid w:val="00D20F91"/>
    <w:rsid w:val="00D27BDA"/>
    <w:rsid w:val="00D40FFD"/>
    <w:rsid w:val="00D456FD"/>
    <w:rsid w:val="00D55376"/>
    <w:rsid w:val="00D72C9A"/>
    <w:rsid w:val="00D9729F"/>
    <w:rsid w:val="00D97D04"/>
    <w:rsid w:val="00DD244B"/>
    <w:rsid w:val="00DF0852"/>
    <w:rsid w:val="00E02CEE"/>
    <w:rsid w:val="00E02D97"/>
    <w:rsid w:val="00E05D86"/>
    <w:rsid w:val="00E273AD"/>
    <w:rsid w:val="00E46A94"/>
    <w:rsid w:val="00E87274"/>
    <w:rsid w:val="00E96538"/>
    <w:rsid w:val="00EB7B10"/>
    <w:rsid w:val="00ED6C11"/>
    <w:rsid w:val="00EE6F09"/>
    <w:rsid w:val="00F62A06"/>
    <w:rsid w:val="00F75F30"/>
    <w:rsid w:val="00F87418"/>
    <w:rsid w:val="00FB7E8E"/>
    <w:rsid w:val="00F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C82C"/>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04"/>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character" w:styleId="CommentReference">
    <w:name w:val="annotation reference"/>
    <w:rsid w:val="00C634BC"/>
    <w:rPr>
      <w:sz w:val="16"/>
      <w:szCs w:val="16"/>
    </w:rPr>
  </w:style>
  <w:style w:type="paragraph" w:styleId="CommentText">
    <w:name w:val="annotation text"/>
    <w:basedOn w:val="Normal"/>
    <w:link w:val="CommentTextChar"/>
    <w:rsid w:val="00C634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634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E5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6E5F"/>
    <w:rPr>
      <w:rFonts w:ascii="Times New Roman" w:eastAsia="Times New Roman" w:hAnsi="Times New Roman" w:cs="Times New Roman"/>
      <w:b/>
      <w:bCs/>
      <w:sz w:val="20"/>
      <w:szCs w:val="20"/>
    </w:rPr>
  </w:style>
  <w:style w:type="character" w:styleId="Strong">
    <w:name w:val="Strong"/>
    <w:qFormat/>
    <w:rsid w:val="009325FF"/>
    <w:rPr>
      <w:rFonts w:cs="Times New Roman"/>
      <w:b/>
      <w:bCs/>
    </w:rPr>
  </w:style>
  <w:style w:type="character" w:styleId="FollowedHyperlink">
    <w:name w:val="FollowedHyperlink"/>
    <w:basedOn w:val="DefaultParagraphFont"/>
    <w:uiPriority w:val="99"/>
    <w:semiHidden/>
    <w:unhideWhenUsed/>
    <w:rsid w:val="007D4392"/>
    <w:rPr>
      <w:color w:val="954F72" w:themeColor="followedHyperlink"/>
      <w:u w:val="single"/>
    </w:rPr>
  </w:style>
  <w:style w:type="paragraph" w:styleId="Header">
    <w:name w:val="header"/>
    <w:basedOn w:val="Normal"/>
    <w:link w:val="HeaderChar"/>
    <w:uiPriority w:val="99"/>
    <w:unhideWhenUsed/>
    <w:rsid w:val="0085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63"/>
  </w:style>
  <w:style w:type="paragraph" w:styleId="Revision">
    <w:name w:val="Revision"/>
    <w:hidden/>
    <w:uiPriority w:val="99"/>
    <w:semiHidden/>
    <w:rsid w:val="00831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omine@senecacasino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F837-87EA-437F-ACFD-B6B22CD0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Jason Romine</cp:lastModifiedBy>
  <cp:revision>8</cp:revision>
  <cp:lastPrinted>2022-05-27T13:52:00Z</cp:lastPrinted>
  <dcterms:created xsi:type="dcterms:W3CDTF">2022-05-26T17:50:00Z</dcterms:created>
  <dcterms:modified xsi:type="dcterms:W3CDTF">2022-05-27T13:58:00Z</dcterms:modified>
</cp:coreProperties>
</file>