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92950" cy="8699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92950" cy="869950"/>
                            </a:xfrm>
                            <a:prstGeom prst="rect">
                              <a:avLst/>
                            </a:prstGeom>
                            <a:noFill/>
                            <a:ln w="6350">
                              <a:noFill/>
                            </a:ln>
                            <a:effectLst/>
                          </wps:spPr>
                          <wps:txbx>
                            <w:txbxContent>
                              <w:p w:rsidR="004F2163" w:rsidRDefault="0059064A" w:rsidP="00E96538">
                                <w:pPr>
                                  <w:pStyle w:val="NoSpacing"/>
                                  <w:jc w:val="right"/>
                                  <w:rPr>
                                    <w:color w:val="595959" w:themeColor="text1" w:themeTint="A6"/>
                                    <w:sz w:val="40"/>
                                    <w:szCs w:val="40"/>
                                  </w:rPr>
                                </w:pPr>
                                <w:r>
                                  <w:rPr>
                                    <w:color w:val="595959" w:themeColor="text1" w:themeTint="A6"/>
                                    <w:sz w:val="40"/>
                                    <w:szCs w:val="40"/>
                                  </w:rPr>
                                  <w:t>DATA WAREHOUSE CONSULTANT</w:t>
                                </w:r>
                              </w:p>
                              <w:p w:rsidR="0059064A" w:rsidRDefault="0059064A" w:rsidP="00E96538">
                                <w:pPr>
                                  <w:pStyle w:val="NoSpacing"/>
                                  <w:jc w:val="right"/>
                                  <w:rPr>
                                    <w:color w:val="595959" w:themeColor="text1" w:themeTint="A6"/>
                                    <w:sz w:val="40"/>
                                    <w:szCs w:val="40"/>
                                  </w:rPr>
                                </w:pPr>
                                <w:r>
                                  <w:rPr>
                                    <w:color w:val="595959" w:themeColor="text1" w:themeTint="A6"/>
                                    <w:sz w:val="40"/>
                                    <w:szCs w:val="40"/>
                                  </w:rPr>
                                  <w:t>RFP #SGC-0033-21CS</w:t>
                                </w:r>
                              </w:p>
                              <w:p w:rsidR="0059064A" w:rsidRPr="00E96538" w:rsidRDefault="0059064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8.5pt;height: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" filled="f" stroked="f" strokeweight=".5pt">
                    <v:textbox inset="126pt,0,54pt,0">
                      <w:txbxContent>
                        <w:p w:rsidR="004F2163" w:rsidRDefault="0059064A" w:rsidP="00E96538">
                          <w:pPr>
                            <w:pStyle w:val="NoSpacing"/>
                            <w:jc w:val="right"/>
                            <w:rPr>
                              <w:color w:val="595959" w:themeColor="text1" w:themeTint="A6"/>
                              <w:sz w:val="40"/>
                              <w:szCs w:val="40"/>
                            </w:rPr>
                          </w:pPr>
                          <w:r>
                            <w:rPr>
                              <w:color w:val="595959" w:themeColor="text1" w:themeTint="A6"/>
                              <w:sz w:val="40"/>
                              <w:szCs w:val="40"/>
                            </w:rPr>
                            <w:t>DATA WAREHOUSE CONSULTANT</w:t>
                          </w:r>
                        </w:p>
                        <w:p w:rsidR="0059064A" w:rsidRDefault="0059064A" w:rsidP="00E96538">
                          <w:pPr>
                            <w:pStyle w:val="NoSpacing"/>
                            <w:jc w:val="right"/>
                            <w:rPr>
                              <w:color w:val="595959" w:themeColor="text1" w:themeTint="A6"/>
                              <w:sz w:val="40"/>
                              <w:szCs w:val="40"/>
                            </w:rPr>
                          </w:pPr>
                          <w:r>
                            <w:rPr>
                              <w:color w:val="595959" w:themeColor="text1" w:themeTint="A6"/>
                              <w:sz w:val="40"/>
                              <w:szCs w:val="40"/>
                            </w:rPr>
                            <w:t>RFP #SGC-0033-21CS</w:t>
                          </w:r>
                        </w:p>
                        <w:p w:rsidR="0059064A" w:rsidRPr="00E96538" w:rsidRDefault="0059064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59064A" w:rsidRDefault="0059064A" w:rsidP="00E96538">
                                <w:pPr>
                                  <w:pStyle w:val="NoSpacing"/>
                                  <w:jc w:val="right"/>
                                  <w:rPr>
                                    <w:color w:val="595959" w:themeColor="text1" w:themeTint="A6"/>
                                    <w:sz w:val="32"/>
                                    <w:szCs w:val="32"/>
                                  </w:rPr>
                                </w:pPr>
                                <w:r w:rsidRPr="0059064A">
                                  <w:rPr>
                                    <w:color w:val="595959" w:themeColor="text1" w:themeTint="A6"/>
                                    <w:sz w:val="32"/>
                                    <w:szCs w:val="32"/>
                                  </w:rPr>
                                  <w:t>APRIL 13, 2021</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59064A" w:rsidRDefault="0059064A" w:rsidP="00E96538">
                          <w:pPr>
                            <w:pStyle w:val="NoSpacing"/>
                            <w:jc w:val="right"/>
                            <w:rPr>
                              <w:color w:val="595959" w:themeColor="text1" w:themeTint="A6"/>
                              <w:sz w:val="32"/>
                              <w:szCs w:val="32"/>
                            </w:rPr>
                          </w:pPr>
                          <w:r w:rsidRPr="0059064A">
                            <w:rPr>
                              <w:color w:val="595959" w:themeColor="text1" w:themeTint="A6"/>
                              <w:sz w:val="32"/>
                              <w:szCs w:val="32"/>
                            </w:rPr>
                            <w:t>APRIL 13, 2021</w:t>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C91F7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AC463C" w:rsidRDefault="00AC463C" w:rsidP="00AC463C">
          <w:pPr>
            <w:pStyle w:val="TOCHeading"/>
            <w:numPr>
              <w:ilvl w:val="0"/>
              <w:numId w:val="0"/>
            </w:numPr>
          </w:pPr>
        </w:p>
        <w:p w:rsidR="00AC463C" w:rsidRDefault="00C91F78" w:rsidP="00AC463C">
          <w:pPr>
            <w:rPr>
              <w:b/>
              <w:bCs/>
              <w:noProof/>
            </w:rPr>
          </w:pPr>
        </w:p>
      </w:sdtContent>
    </w:sdt>
    <w:bookmarkStart w:id="0" w:name="_Toc17988920" w:displacedByCustomXml="prev"/>
    <w:p w:rsidR="00E96538" w:rsidRPr="00AC463C" w:rsidRDefault="00E96538" w:rsidP="00AC463C">
      <w:pPr>
        <w:rPr>
          <w:sz w:val="32"/>
          <w:szCs w:val="32"/>
        </w:rPr>
      </w:pPr>
      <w:r w:rsidRPr="00AC463C">
        <w:rPr>
          <w:sz w:val="32"/>
          <w:szCs w:val="32"/>
        </w:rPr>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7988921"/>
      <w:r>
        <w:t>RFP Objective</w:t>
      </w:r>
      <w:bookmarkEnd w:id="1"/>
    </w:p>
    <w:p w:rsidR="00E96538" w:rsidRDefault="00E96538" w:rsidP="0059064A">
      <w:pPr>
        <w:spacing w:before="120" w:after="120" w:line="240" w:lineRule="auto"/>
        <w:ind w:left="720"/>
        <w:rPr>
          <w:rFonts w:eastAsia="Times New Roman" w:cstheme="minorHAnsi"/>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w:t>
      </w:r>
      <w:r w:rsidR="0059064A">
        <w:rPr>
          <w:rFonts w:eastAsia="Times New Roman" w:cstheme="minorHAnsi"/>
        </w:rPr>
        <w:t>to secure a partner who could provide consulting services to guide and assist SGC in the development of a Data Warehouse / Business Intelligence (DW/BI) Blueprint including but not limited to the points outlined in Section II</w:t>
      </w:r>
      <w:r w:rsidR="00EC4059">
        <w:rPr>
          <w:rFonts w:eastAsia="Times New Roman" w:cstheme="minorHAnsi"/>
        </w:rPr>
        <w:t xml:space="preserve"> (pages 5-8)</w:t>
      </w:r>
      <w:r w:rsidR="0059064A">
        <w:rPr>
          <w:rFonts w:eastAsia="Times New Roman" w:cstheme="minorHAnsi"/>
        </w:rPr>
        <w:t>. Exp</w:t>
      </w:r>
      <w:r w:rsidR="001D009D">
        <w:rPr>
          <w:rFonts w:eastAsia="Times New Roman" w:cstheme="minorHAnsi"/>
        </w:rPr>
        <w:t>ectation would be</w:t>
      </w:r>
      <w:r w:rsidR="00CE50EC">
        <w:rPr>
          <w:rFonts w:eastAsia="Times New Roman" w:cstheme="minorHAnsi"/>
        </w:rPr>
        <w:t xml:space="preserve"> to have the consultant engaged by May 1, 2021. </w:t>
      </w:r>
      <w:r w:rsidR="001D009D">
        <w:rPr>
          <w:rFonts w:eastAsia="Times New Roman" w:cstheme="minorHAnsi"/>
        </w:rPr>
        <w:t xml:space="preserve"> </w:t>
      </w:r>
    </w:p>
    <w:p w:rsidR="00313817" w:rsidRDefault="00313817" w:rsidP="0059064A">
      <w:pPr>
        <w:spacing w:before="120" w:after="120" w:line="240" w:lineRule="auto"/>
        <w:ind w:left="720"/>
      </w:pPr>
    </w:p>
    <w:p w:rsidR="00E96538" w:rsidRDefault="00E96538" w:rsidP="00E96538">
      <w:pPr>
        <w:pStyle w:val="Heading2"/>
      </w:pPr>
      <w:bookmarkStart w:id="2" w:name="_Toc17988923"/>
      <w:r>
        <w:t>Contact Information</w:t>
      </w:r>
      <w:bookmarkEnd w:id="2"/>
    </w:p>
    <w:p w:rsidR="00E96538" w:rsidRPr="00CC3D40" w:rsidRDefault="00E96538" w:rsidP="00E96538">
      <w:pPr>
        <w:ind w:left="1440"/>
        <w:jc w:val="both"/>
      </w:pPr>
      <w:r>
        <w:t xml:space="preserve">Please use the following name and email address for all correspondence with SGC concerning this RFP.  Suppliers who solicit information about this RFP either directly or indirectly from other sources </w:t>
      </w:r>
      <w:proofErr w:type="gramStart"/>
      <w:r>
        <w:t>will be disqualified</w:t>
      </w:r>
      <w:proofErr w:type="gramEnd"/>
      <w:r>
        <w:t>.</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1D009D">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1D009D" w:rsidRPr="00A85925">
          <w:rPr>
            <w:rStyle w:val="Hyperlink"/>
            <w:sz w:val="24"/>
            <w:szCs w:val="24"/>
          </w:rPr>
          <w:t>csaxe@senecacasinos.com</w:t>
        </w:r>
      </w:hyperlink>
      <w:r w:rsidR="001D009D">
        <w:rPr>
          <w:sz w:val="24"/>
          <w:szCs w:val="24"/>
        </w:rPr>
        <w:t xml:space="preserve"> </w:t>
      </w:r>
    </w:p>
    <w:p w:rsidR="00E96538" w:rsidRDefault="00E96538" w:rsidP="00E96538">
      <w:pPr>
        <w:pStyle w:val="Heading2"/>
      </w:pPr>
      <w:bookmarkStart w:id="3" w:name="_Toc17988924"/>
      <w:r>
        <w:t>Schedule of Events</w:t>
      </w:r>
      <w:bookmarkEnd w:id="3"/>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1D009D">
        <w:rPr>
          <w:sz w:val="24"/>
          <w:szCs w:val="24"/>
        </w:rPr>
        <w:t>April 13, 2021</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1D009D">
        <w:rPr>
          <w:sz w:val="24"/>
          <w:szCs w:val="24"/>
        </w:rPr>
        <w:t>April 20, 2021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CE50EC">
        <w:rPr>
          <w:b/>
          <w:sz w:val="24"/>
          <w:szCs w:val="24"/>
        </w:rPr>
        <w:t>April 27</w:t>
      </w:r>
      <w:r w:rsidR="001D009D">
        <w:rPr>
          <w:b/>
          <w:sz w:val="24"/>
          <w:szCs w:val="24"/>
        </w:rPr>
        <w:t>, 2021</w:t>
      </w:r>
      <w:r w:rsidRPr="00AB31A0">
        <w:rPr>
          <w:b/>
          <w:sz w:val="24"/>
          <w:szCs w:val="24"/>
        </w:rPr>
        <w:t xml:space="preserve"> by 5:00 PM Eastern Time</w:t>
      </w:r>
    </w:p>
    <w:p w:rsidR="00E96538" w:rsidRDefault="00E96538" w:rsidP="00E96538">
      <w:pPr>
        <w:pStyle w:val="Heading2"/>
        <w:rPr>
          <w:rFonts w:eastAsia="Times New Roman"/>
        </w:rPr>
      </w:pPr>
      <w:bookmarkStart w:id="4" w:name="_Toc17988925"/>
      <w:r>
        <w:rPr>
          <w:rFonts w:eastAsia="Times New Roman"/>
        </w:rPr>
        <w:t>Intent to Bid</w:t>
      </w:r>
      <w:bookmarkEnd w:id="4"/>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5" w:name="_Toc17988926"/>
      <w:r>
        <w:rPr>
          <w:rFonts w:eastAsia="Times New Roman"/>
        </w:rPr>
        <w:t xml:space="preserve">Bidder </w:t>
      </w:r>
      <w:r w:rsidRPr="00CC3D40">
        <w:rPr>
          <w:rFonts w:eastAsia="Times New Roman"/>
        </w:rPr>
        <w:t>Questions</w:t>
      </w:r>
      <w:bookmarkEnd w:id="5"/>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 xml:space="preserve">Questions must reference the specific RFP paragraph number and page and quote the passage </w:t>
      </w:r>
      <w:proofErr w:type="gramStart"/>
      <w:r w:rsidRPr="00371E1A">
        <w:rPr>
          <w:rFonts w:eastAsia="Times New Roman" w:cstheme="minorHAnsi"/>
        </w:rPr>
        <w:t>being questioned</w:t>
      </w:r>
      <w:proofErr w:type="gramEnd"/>
      <w:r w:rsidRPr="00371E1A">
        <w:rPr>
          <w:rFonts w:eastAsia="Times New Roman" w:cstheme="minorHAnsi"/>
        </w:rPr>
        <w:t>. SGC will respond to questions promptly and will send answers to Bidders as a group.</w:t>
      </w:r>
    </w:p>
    <w:p w:rsidR="00456E00" w:rsidRPr="00CC3D40" w:rsidRDefault="00456E00" w:rsidP="00456E00">
      <w:pPr>
        <w:pStyle w:val="Heading2"/>
        <w:rPr>
          <w:rFonts w:eastAsia="Times New Roman"/>
        </w:rPr>
      </w:pPr>
      <w:bookmarkStart w:id="6" w:name="_Toc17728971"/>
      <w:bookmarkStart w:id="7" w:name="_Toc17988927"/>
      <w:r w:rsidRPr="00CC3D40">
        <w:rPr>
          <w:rFonts w:eastAsia="Times New Roman"/>
        </w:rPr>
        <w:t>Submission of Proposals</w:t>
      </w:r>
      <w:bookmarkEnd w:id="6"/>
      <w:bookmarkEnd w:id="7"/>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w:t>
      </w:r>
      <w:proofErr w:type="gramStart"/>
      <w:r w:rsidRPr="000F29A3">
        <w:rPr>
          <w:rFonts w:eastAsia="Times New Roman" w:cstheme="minorHAnsi"/>
        </w:rPr>
        <w:t>must be submitted</w:t>
      </w:r>
      <w:proofErr w:type="gramEnd"/>
      <w:r w:rsidRPr="000F29A3">
        <w:rPr>
          <w:rFonts w:eastAsia="Times New Roman" w:cstheme="minorHAnsi"/>
        </w:rPr>
        <w:t xml:space="preserve">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8" w:name="_Toc17728972"/>
      <w:bookmarkStart w:id="9" w:name="_Toc17988929"/>
      <w:r w:rsidRPr="00EE18DD">
        <w:rPr>
          <w:rFonts w:eastAsia="Times New Roman"/>
        </w:rPr>
        <w:t>Proposal Format</w:t>
      </w:r>
      <w:bookmarkEnd w:id="8"/>
      <w:bookmarkEnd w:id="9"/>
    </w:p>
    <w:p w:rsidR="00834241" w:rsidRPr="00371E1A" w:rsidRDefault="00834241" w:rsidP="00834241">
      <w:pPr>
        <w:ind w:left="720" w:firstLine="720"/>
        <w:rPr>
          <w:rFonts w:eastAsia="Times New Roman" w:cstheme="minorHAnsi"/>
        </w:rPr>
      </w:pPr>
      <w:r w:rsidRPr="001D009D">
        <w:rPr>
          <w:rFonts w:eastAsia="Times New Roman" w:cstheme="minorHAnsi"/>
          <w:b/>
        </w:rPr>
        <w:t>Bidder proposals must conform to the following proposal format</w:t>
      </w:r>
      <w:r w:rsidRPr="001D009D">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proofErr w:type="gramStart"/>
      <w:r>
        <w:t>were</w:t>
      </w:r>
      <w:r w:rsidRPr="00294673">
        <w:t xml:space="preserve"> awarded</w:t>
      </w:r>
      <w:proofErr w:type="gramEnd"/>
      <w:r w:rsidRPr="00294673">
        <w:t xml:space="preserve">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Default="00834241" w:rsidP="00834241">
      <w:pPr>
        <w:ind w:left="1440"/>
        <w:jc w:val="both"/>
      </w:pPr>
      <w:r>
        <w:lastRenderedPageBreak/>
        <w:t xml:space="preserve">Include complete responses to all requirements outlined in the Requirements Specification section of this RFP. Reponses are to follow the outline of the Requirements Specification herein (including companion documents, if any) and refer to each requirement </w:t>
      </w:r>
      <w:proofErr w:type="gramStart"/>
      <w:r>
        <w:t>being addressed</w:t>
      </w:r>
      <w:proofErr w:type="gramEnd"/>
      <w:r>
        <w:t xml:space="preserve">. Requirements that cannot </w:t>
      </w:r>
      <w:proofErr w:type="gramStart"/>
      <w:r>
        <w:t>be supported</w:t>
      </w:r>
      <w:proofErr w:type="gramEnd"/>
      <w:r>
        <w:t xml:space="preserve"> in whole or in part should be identified as such.</w:t>
      </w:r>
    </w:p>
    <w:p w:rsidR="001D009D" w:rsidRDefault="001D009D" w:rsidP="00834241">
      <w:pPr>
        <w:ind w:left="1440"/>
        <w:jc w:val="both"/>
      </w:pP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 xml:space="preserve">The purpose of this section is to afford Bidder an opportunity to present necessary information that </w:t>
      </w:r>
      <w:proofErr w:type="gramStart"/>
      <w:r>
        <w:t>was not requested</w:t>
      </w:r>
      <w:proofErr w:type="gramEnd"/>
      <w:r>
        <w:t>.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w:t>
      </w:r>
      <w:proofErr w:type="gramStart"/>
      <w:r w:rsidRPr="00294673">
        <w:t xml:space="preserve">should be </w:t>
      </w:r>
      <w:r>
        <w:t>noted</w:t>
      </w:r>
      <w:proofErr w:type="gramEnd"/>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w:t>
      </w:r>
      <w:proofErr w:type="gramStart"/>
      <w:r>
        <w:t>is authorized</w:t>
      </w:r>
      <w:proofErr w:type="gramEnd"/>
      <w:r>
        <w:t xml:space="preserve">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1D009D" w:rsidP="00834241">
      <w:pPr>
        <w:ind w:left="1440"/>
        <w:jc w:val="both"/>
      </w:pPr>
      <w:r>
        <w:t>If requested, e</w:t>
      </w:r>
      <w:r w:rsidR="00834241" w:rsidRPr="00294673">
        <w:t xml:space="preserve">vidence of current insurance is to </w:t>
      </w:r>
      <w:proofErr w:type="gramStart"/>
      <w:r w:rsidR="00834241" w:rsidRPr="00294673">
        <w:t>be provided</w:t>
      </w:r>
      <w:proofErr w:type="gramEnd"/>
      <w:r w:rsidR="00834241" w:rsidRPr="00294673">
        <w:t xml:space="preserve"> to the satisfaction of SGC’s Risk Management Department. </w:t>
      </w:r>
      <w:r w:rsidR="00834241"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 xml:space="preserve">SGC’s Risk Management Department has discretion to increase, decrease, or dispense with insurance in appropriate cases. They </w:t>
      </w:r>
      <w:proofErr w:type="gramStart"/>
      <w:r w:rsidRPr="00281D20">
        <w:t>may, in addition to or instead of insurance, require</w:t>
      </w:r>
      <w:proofErr w:type="gramEnd"/>
      <w:r w:rsidRPr="00281D20">
        <w:t xml:space="preserv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 xml:space="preserve">Bidders </w:t>
      </w:r>
      <w:proofErr w:type="gramStart"/>
      <w:r>
        <w:t>are invited</w:t>
      </w:r>
      <w:proofErr w:type="gramEnd"/>
      <w:r>
        <w:t xml:space="preserve">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0" w:name="_Toc17988930"/>
      <w:r w:rsidRPr="00325DC1">
        <w:rPr>
          <w:rFonts w:eastAsia="Times New Roman"/>
        </w:rPr>
        <w:t>Propo</w:t>
      </w:r>
      <w:r>
        <w:rPr>
          <w:rFonts w:eastAsia="Times New Roman"/>
        </w:rPr>
        <w:t>sal Evaluation/Vendor Selection</w:t>
      </w:r>
      <w:bookmarkEnd w:id="10"/>
    </w:p>
    <w:p w:rsidR="00E96538" w:rsidRPr="00294673" w:rsidRDefault="00E96538" w:rsidP="00E96538">
      <w:pPr>
        <w:spacing w:after="120" w:line="240" w:lineRule="auto"/>
        <w:ind w:left="1440"/>
        <w:jc w:val="both"/>
      </w:pPr>
      <w:r w:rsidRPr="00294673">
        <w:t xml:space="preserve">Proposals </w:t>
      </w:r>
      <w:proofErr w:type="gramStart"/>
      <w:r w:rsidRPr="00294673">
        <w:t>will be evaluated</w:t>
      </w:r>
      <w:proofErr w:type="gramEnd"/>
      <w:r w:rsidRPr="00294673">
        <w:t xml:space="preserve"> to determine their completeness and compliance with the mandatory requirements and qualifications specified throughout this document.  Failure to comply with one or more of these requirements may result in the proposal </w:t>
      </w:r>
      <w:proofErr w:type="gramStart"/>
      <w:r w:rsidRPr="00294673">
        <w:t>being rejected</w:t>
      </w:r>
      <w:proofErr w:type="gramEnd"/>
      <w:r w:rsidRPr="00294673">
        <w:t xml:space="preserve"> as non-responsive. SGC reserves the right to waive deviations it deems non-material and/or to reject </w:t>
      </w:r>
      <w:proofErr w:type="gramStart"/>
      <w:r w:rsidRPr="00294673">
        <w:t>any and all</w:t>
      </w:r>
      <w:proofErr w:type="gramEnd"/>
      <w:r w:rsidRPr="00294673">
        <w:t xml:space="preserve"> Proposals in its sole discretion.</w:t>
      </w:r>
    </w:p>
    <w:p w:rsidR="00E96538" w:rsidRPr="00294673" w:rsidRDefault="00E96538" w:rsidP="00E96538">
      <w:pPr>
        <w:spacing w:after="120" w:line="240" w:lineRule="auto"/>
        <w:ind w:left="1440"/>
        <w:jc w:val="both"/>
      </w:pPr>
      <w:r w:rsidRPr="00294673">
        <w:t xml:space="preserve">The successful Bidder(s) </w:t>
      </w:r>
      <w:proofErr w:type="gramStart"/>
      <w:r w:rsidRPr="00294673">
        <w:t>will be notified</w:t>
      </w:r>
      <w:proofErr w:type="gramEnd"/>
      <w:r w:rsidRPr="00294673">
        <w:t xml:space="preserve">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w:t>
      </w:r>
      <w:proofErr w:type="gramStart"/>
      <w:r w:rsidRPr="00294673">
        <w:t>these</w:t>
      </w:r>
      <w:proofErr w:type="gramEnd"/>
      <w:r w:rsidRPr="00294673">
        <w:t xml:space="preserve"> actions that the successful Bidder will be considered a Vendor of SGC. </w:t>
      </w:r>
    </w:p>
    <w:p w:rsidR="00E96538" w:rsidRPr="00294673" w:rsidRDefault="00E96538" w:rsidP="00E96538">
      <w:pPr>
        <w:spacing w:after="120" w:line="240" w:lineRule="auto"/>
        <w:ind w:left="1440"/>
        <w:jc w:val="both"/>
      </w:pPr>
      <w:r w:rsidRPr="00294673">
        <w:t xml:space="preserve">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w:t>
      </w:r>
      <w:proofErr w:type="gramStart"/>
      <w:r w:rsidRPr="00294673">
        <w:t>must be completed</w:t>
      </w:r>
      <w:proofErr w:type="gramEnd"/>
      <w:r w:rsidRPr="00294673">
        <w:t xml:space="preserve"> and, if applicable, the requisite SGA vendor license issued, prior to signature of the contract. Vendor licenses and fees </w:t>
      </w:r>
      <w:proofErr w:type="gramStart"/>
      <w:r w:rsidRPr="00294673">
        <w:t>must be renewed</w:t>
      </w:r>
      <w:proofErr w:type="gramEnd"/>
      <w:r w:rsidRPr="00294673">
        <w:t xml:space="preserve"> every two years. SGA </w:t>
      </w:r>
      <w:proofErr w:type="gramStart"/>
      <w:r w:rsidRPr="00294673">
        <w:t>may also, in an appropriate case, require</w:t>
      </w:r>
      <w:proofErr w:type="gramEnd"/>
      <w:r w:rsidRPr="00294673">
        <w:t xml:space="preserv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1" w:name="_Toc17988931"/>
      <w:r>
        <w:rPr>
          <w:rFonts w:eastAsia="Times New Roman"/>
        </w:rPr>
        <w:t>General Bidder Information</w:t>
      </w:r>
      <w:bookmarkEnd w:id="11"/>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w:t>
      </w:r>
      <w:proofErr w:type="gramStart"/>
      <w:r w:rsidRPr="00EA5550">
        <w:t>be held</w:t>
      </w:r>
      <w:proofErr w:type="gramEnd"/>
      <w:r w:rsidRPr="00EA5550">
        <w:t xml:space="preserve"> unopened and confidential until after the closing date and time.  At the bid opening, Proposals </w:t>
      </w:r>
      <w:proofErr w:type="gramStart"/>
      <w:r w:rsidRPr="00EA5550">
        <w:t>will be opened</w:t>
      </w:r>
      <w:proofErr w:type="gramEnd"/>
      <w:r w:rsidRPr="00EA5550">
        <w:t xml:space="preserve">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lastRenderedPageBreak/>
        <w:t>Bid Validity</w:t>
      </w:r>
      <w:r w:rsidRPr="00EA5550">
        <w:t xml:space="preserve">. Bidder’s bid submission must remain valid for a minimum of </w:t>
      </w:r>
      <w:proofErr w:type="gramStart"/>
      <w:r w:rsidRPr="00EA5550">
        <w:t>ninety (90) days</w:t>
      </w:r>
      <w:proofErr w:type="gramEnd"/>
      <w:r w:rsidRPr="00EA5550">
        <w:t xml:space="preserve">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proofErr w:type="gramStart"/>
      <w:r w:rsidRPr="00EA5550">
        <w:rPr>
          <w:rFonts w:eastAsia="Times New Roman" w:cstheme="minorHAnsi"/>
        </w:rPr>
        <w:t>are accepted</w:t>
      </w:r>
      <w:proofErr w:type="gramEnd"/>
      <w:r w:rsidRPr="00EA5550">
        <w:rPr>
          <w:rFonts w:eastAsia="Times New Roman" w:cstheme="minorHAnsi"/>
        </w:rPr>
        <w:t xml:space="preserve"> based on the following conditions: SGC will consider alternative proposals from Bidders provided they have submitted a response based on the original requirements. The alternative Proposal </w:t>
      </w:r>
      <w:proofErr w:type="gramStart"/>
      <w:r w:rsidRPr="00EA5550">
        <w:rPr>
          <w:rFonts w:eastAsia="Times New Roman" w:cstheme="minorHAnsi"/>
        </w:rPr>
        <w:t>will be submitted</w:t>
      </w:r>
      <w:proofErr w:type="gramEnd"/>
      <w:r w:rsidRPr="00EA5550">
        <w:rPr>
          <w:rFonts w:eastAsia="Times New Roman" w:cstheme="minorHAnsi"/>
        </w:rPr>
        <w:t xml:space="preserve"> separate and apart from the basic Proposal. It </w:t>
      </w:r>
      <w:proofErr w:type="gramStart"/>
      <w:r w:rsidRPr="00EA5550">
        <w:rPr>
          <w:rFonts w:eastAsia="Times New Roman" w:cstheme="minorHAnsi"/>
        </w:rPr>
        <w:t>is assumed</w:t>
      </w:r>
      <w:proofErr w:type="gramEnd"/>
      <w:r w:rsidRPr="00EA5550">
        <w:rPr>
          <w:rFonts w:eastAsia="Times New Roman" w:cstheme="minorHAnsi"/>
        </w:rPr>
        <w:t xml:space="preserve">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w:t>
      </w:r>
      <w:proofErr w:type="gramStart"/>
      <w:r w:rsidRPr="00EA5550">
        <w:rPr>
          <w:rFonts w:eastAsia="Times New Roman" w:cstheme="minorHAnsi"/>
        </w:rPr>
        <w:t>should be attached</w:t>
      </w:r>
      <w:proofErr w:type="gramEnd"/>
      <w:r w:rsidRPr="00EA5550">
        <w:rPr>
          <w:rFonts w:eastAsia="Times New Roman" w:cstheme="minorHAnsi"/>
        </w:rPr>
        <w:t xml:space="preserve">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xml:space="preserve">. Bidders </w:t>
      </w:r>
      <w:proofErr w:type="gramStart"/>
      <w:r w:rsidRPr="00EA5550">
        <w:rPr>
          <w:rFonts w:eastAsia="Times New Roman" w:cstheme="minorHAnsi"/>
        </w:rPr>
        <w:t>are advised</w:t>
      </w:r>
      <w:proofErr w:type="gramEnd"/>
      <w:r w:rsidRPr="00EA5550">
        <w:rPr>
          <w:rFonts w:eastAsia="Times New Roman" w:cstheme="minorHAnsi"/>
        </w:rPr>
        <w:t xml:space="preserve">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2" w:name="_Toc17988932"/>
      <w:r w:rsidRPr="00961C9F">
        <w:rPr>
          <w:rFonts w:eastAsia="Times New Roman"/>
        </w:rPr>
        <w:t>SGC Standard Terms and Conditions</w:t>
      </w:r>
      <w:bookmarkEnd w:id="12"/>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C4059" w:rsidRPr="00EA5550" w:rsidRDefault="00EC4059" w:rsidP="00E96538">
      <w:pPr>
        <w:spacing w:after="120" w:line="240" w:lineRule="auto"/>
        <w:ind w:left="1440"/>
        <w:jc w:val="both"/>
        <w:rPr>
          <w:rFonts w:eastAsia="Times New Roman" w:cstheme="minorHAnsi"/>
        </w:rPr>
      </w:pPr>
    </w:p>
    <w:p w:rsidR="001D009D" w:rsidRPr="00EC4059" w:rsidRDefault="00E96538" w:rsidP="00EC4059">
      <w:pPr>
        <w:pStyle w:val="Heading1"/>
        <w:rPr>
          <w:rFonts w:eastAsia="Times New Roman"/>
        </w:rPr>
      </w:pPr>
      <w:bookmarkStart w:id="13" w:name="_Toc17988935"/>
      <w:r>
        <w:t>Requirements</w:t>
      </w:r>
      <w:r w:rsidR="004D32F5">
        <w:t xml:space="preserve"> Specification</w:t>
      </w:r>
      <w:bookmarkEnd w:id="13"/>
      <w:r w:rsidR="00556EC3">
        <w:t xml:space="preserve"> </w:t>
      </w:r>
    </w:p>
    <w:p w:rsidR="00AC463C" w:rsidRDefault="001D009D" w:rsidP="00AC463C">
      <w:r>
        <w:t xml:space="preserve">                             </w:t>
      </w:r>
    </w:p>
    <w:p w:rsidR="00AC463C" w:rsidRPr="00313817" w:rsidRDefault="00AC463C" w:rsidP="00EC4059">
      <w:pPr>
        <w:ind w:left="900"/>
        <w:rPr>
          <w:b/>
        </w:rPr>
      </w:pPr>
      <w:r w:rsidRPr="00313817">
        <w:rPr>
          <w:b/>
        </w:rPr>
        <w:t>Consulting Engagement Requirements</w:t>
      </w:r>
    </w:p>
    <w:p w:rsidR="00AC463C" w:rsidRDefault="00AC463C" w:rsidP="00EC4059">
      <w:pPr>
        <w:ind w:left="900"/>
      </w:pPr>
      <w:r>
        <w:t>The Seneca Gaming Corporation (SGC) is seeking to secure consulting services to guide and assist in the development of a Data Warehouse / Business Intelligence (DW/ BI) Blueprint including but not limited to</w:t>
      </w:r>
      <w:proofErr w:type="gramStart"/>
      <w:r>
        <w:t>;</w:t>
      </w:r>
      <w:proofErr w:type="gramEnd"/>
    </w:p>
    <w:p w:rsidR="00AC463C" w:rsidRDefault="00AC463C" w:rsidP="00AC463C"/>
    <w:p w:rsidR="00AC463C" w:rsidRDefault="00AC463C" w:rsidP="00C6024D">
      <w:pPr>
        <w:ind w:left="990"/>
      </w:pPr>
      <w:r>
        <w:t>•</w:t>
      </w:r>
      <w:r>
        <w:tab/>
        <w:t>Analysis and S.W.A.T. of Contemporary Compute platforms options in alignment with SGC Architecture principles (e.g. On-Premise, Consumption Based, Cloud, etc.)</w:t>
      </w:r>
    </w:p>
    <w:p w:rsidR="00AC463C" w:rsidRDefault="00AC463C" w:rsidP="00EC4059">
      <w:pPr>
        <w:ind w:left="990"/>
      </w:pPr>
      <w:r>
        <w:lastRenderedPageBreak/>
        <w:t>•</w:t>
      </w:r>
      <w:r>
        <w:tab/>
        <w:t>Contemporary DW/BI technologies offerings (e.g. Hybrid Data Warehousing, Logical Data Warehousing, etc.)</w:t>
      </w:r>
    </w:p>
    <w:p w:rsidR="00AC463C" w:rsidRDefault="00AC463C" w:rsidP="00EC4059">
      <w:pPr>
        <w:ind w:left="990"/>
      </w:pPr>
      <w:r>
        <w:t>•</w:t>
      </w:r>
      <w:r>
        <w:tab/>
        <w:t xml:space="preserve">Analysis and expert guidance on evaluation of contemporary DW/BI tools (e.g. Amazon Redshift, MS Azure, Google </w:t>
      </w:r>
      <w:proofErr w:type="spellStart"/>
      <w:r>
        <w:t>BigQuery</w:t>
      </w:r>
      <w:proofErr w:type="spellEnd"/>
      <w:r>
        <w:t xml:space="preserve">, Snowflake, Teradata, Amazon </w:t>
      </w:r>
      <w:proofErr w:type="spellStart"/>
      <w:r>
        <w:t>DynamoDB</w:t>
      </w:r>
      <w:proofErr w:type="spellEnd"/>
      <w:r>
        <w:t>, PostgreSQL, etc.)</w:t>
      </w:r>
    </w:p>
    <w:p w:rsidR="00AC463C" w:rsidRDefault="00AC463C" w:rsidP="00EC4059">
      <w:pPr>
        <w:ind w:left="990"/>
      </w:pPr>
      <w:r>
        <w:t>•</w:t>
      </w:r>
      <w:r>
        <w:tab/>
        <w:t>Analysis and expert guidance on evaluation of contemporary report</w:t>
      </w:r>
      <w:r w:rsidR="00046A17">
        <w:t>,</w:t>
      </w:r>
      <w:r>
        <w:t xml:space="preserve"> dash boarding</w:t>
      </w:r>
      <w:r w:rsidR="00046A17">
        <w:t xml:space="preserve"> and</w:t>
      </w:r>
      <w:r>
        <w:t xml:space="preserve"> </w:t>
      </w:r>
      <w:r w:rsidR="00046A17">
        <w:t xml:space="preserve">visualization </w:t>
      </w:r>
      <w:r>
        <w:t xml:space="preserve">tools (e.g. Tableau, </w:t>
      </w:r>
      <w:proofErr w:type="spellStart"/>
      <w:r>
        <w:t>Phocas</w:t>
      </w:r>
      <w:proofErr w:type="spellEnd"/>
      <w:r>
        <w:t xml:space="preserve">, </w:t>
      </w:r>
      <w:proofErr w:type="spellStart"/>
      <w:r>
        <w:t>Juicebox</w:t>
      </w:r>
      <w:proofErr w:type="spellEnd"/>
      <w:r>
        <w:t>, Domo, Oracle, MS, AWS, etc.)</w:t>
      </w:r>
    </w:p>
    <w:p w:rsidR="00AC463C" w:rsidRDefault="00AC463C" w:rsidP="00EC4059">
      <w:pPr>
        <w:ind w:left="990"/>
      </w:pPr>
      <w:r>
        <w:t>•</w:t>
      </w:r>
      <w:r>
        <w:tab/>
        <w:t xml:space="preserve">Analysis and expert guidance on evaluation of contemporary middleware tools (Application integration tools (e.g. WebSphere, TIBCO, </w:t>
      </w:r>
      <w:proofErr w:type="spellStart"/>
      <w:r>
        <w:t>Infomatica</w:t>
      </w:r>
      <w:proofErr w:type="spellEnd"/>
      <w:r>
        <w:t>, MS Azure, etc.)</w:t>
      </w:r>
    </w:p>
    <w:p w:rsidR="00AC463C" w:rsidRDefault="00AC463C" w:rsidP="00AC463C"/>
    <w:p w:rsidR="000C7E35" w:rsidRPr="000C7E35" w:rsidRDefault="000C7E35" w:rsidP="000C7E35">
      <w:pPr>
        <w:pStyle w:val="NoSpacing"/>
      </w:pPr>
      <w:r>
        <w:t xml:space="preserve">                    Important: Vendor and/or product selection is NOT within the scope of this phase of the </w:t>
      </w:r>
    </w:p>
    <w:p w:rsidR="000C7E35" w:rsidRPr="000C7E35" w:rsidRDefault="000C7E35" w:rsidP="000C7E35">
      <w:pPr>
        <w:pStyle w:val="NoSpacing"/>
      </w:pPr>
      <w:r>
        <w:t xml:space="preserve">                    </w:t>
      </w:r>
      <w:proofErr w:type="gramStart"/>
      <w:r>
        <w:t>project</w:t>
      </w:r>
      <w:proofErr w:type="gramEnd"/>
      <w:r>
        <w:t>. Respondents mu</w:t>
      </w:r>
      <w:r w:rsidR="00A95921">
        <w:t>st</w:t>
      </w:r>
      <w:r>
        <w:t xml:space="preserve"> be vendor / solution independent. </w:t>
      </w:r>
    </w:p>
    <w:p w:rsidR="000C7E35" w:rsidRDefault="000C7E35" w:rsidP="000C7E35">
      <w:pPr>
        <w:pStyle w:val="NoSpacing"/>
      </w:pPr>
    </w:p>
    <w:p w:rsidR="00AC463C" w:rsidRDefault="00046A17" w:rsidP="00046A17">
      <w:pPr>
        <w:ind w:left="990" w:hanging="990"/>
      </w:pPr>
      <w:r>
        <w:rPr>
          <w:rFonts w:eastAsiaTheme="minorEastAsia"/>
        </w:rPr>
        <w:t xml:space="preserve">                    </w:t>
      </w:r>
      <w:r w:rsidR="00AC463C">
        <w:t xml:space="preserve">The ideal candidate(s) must demonstrate both deep and wide knowledge / experience in all of areas listed above. </w:t>
      </w:r>
      <w:r w:rsidR="00EC6C70">
        <w:t xml:space="preserve">Experience with enterprise data warehouse and business intelligence in the gaming and hospitality industry is preferred. </w:t>
      </w:r>
      <w:r w:rsidR="00AC463C">
        <w:t xml:space="preserve">The candidate(s) must employ total objectivity in their analysis of each category of items listed above. The candidate(s) must not have any affiliation or derive any monetary motivation with any of the vendors and/or technologies that </w:t>
      </w:r>
      <w:proofErr w:type="gramStart"/>
      <w:r w:rsidR="00AC463C">
        <w:t>will be evaluated</w:t>
      </w:r>
      <w:proofErr w:type="gramEnd"/>
      <w:r w:rsidR="00AC463C">
        <w:t xml:space="preserve">.  </w:t>
      </w:r>
    </w:p>
    <w:p w:rsidR="00AC463C" w:rsidRDefault="00AC463C" w:rsidP="00AC463C"/>
    <w:p w:rsidR="00AC463C" w:rsidRPr="00313817" w:rsidRDefault="00AC463C" w:rsidP="00313817">
      <w:pPr>
        <w:ind w:left="990"/>
        <w:rPr>
          <w:b/>
        </w:rPr>
      </w:pPr>
      <w:r w:rsidRPr="00313817">
        <w:rPr>
          <w:b/>
        </w:rPr>
        <w:t>Business Opportunity</w:t>
      </w:r>
    </w:p>
    <w:p w:rsidR="00AC463C" w:rsidRDefault="00AC463C" w:rsidP="00EC4059">
      <w:pPr>
        <w:ind w:left="990"/>
      </w:pPr>
      <w:r>
        <w:t>Digital business demands a modern data and analytics platform capable of supporting all aspects of data from acquisition, transformation, storage, analysis and delivery.   It is widely accepted that advanced analytics is in the critical path to competitive advantage.  Organizations with a modern data and analytics architecture can derive insights from information to surpass their competition and achieve market dominance.</w:t>
      </w:r>
    </w:p>
    <w:p w:rsidR="00AC463C" w:rsidRDefault="00AC463C" w:rsidP="00AC463C"/>
    <w:p w:rsidR="00AC463C" w:rsidRPr="00313817" w:rsidRDefault="00AC463C" w:rsidP="00313817">
      <w:pPr>
        <w:ind w:left="990"/>
        <w:rPr>
          <w:b/>
        </w:rPr>
      </w:pPr>
      <w:r w:rsidRPr="00313817">
        <w:rPr>
          <w:b/>
        </w:rPr>
        <w:t>Executive Summary</w:t>
      </w:r>
    </w:p>
    <w:p w:rsidR="00AC463C" w:rsidRDefault="00AC463C" w:rsidP="00EC4059">
      <w:pPr>
        <w:ind w:left="990"/>
      </w:pPr>
      <w:r>
        <w:t xml:space="preserve">The purpose of this project is to drive business innovation with a modernized data warehouse environment that will support data driven </w:t>
      </w:r>
      <w:proofErr w:type="gramStart"/>
      <w:r>
        <w:t>decision making</w:t>
      </w:r>
      <w:proofErr w:type="gramEnd"/>
      <w:r>
        <w:t xml:space="preserve">.  This will be a multi-phase project. This RFP will focus on the first phase will focus on Preliminary Discovery to evaluate how Seneca Gaming can utilize an Enterprise Data Warehouse (EDW) / Business intelligence (BI) solution to further the strategic objectives of the organization.  </w:t>
      </w:r>
    </w:p>
    <w:p w:rsidR="00AC463C" w:rsidRDefault="00AC463C" w:rsidP="00AC463C"/>
    <w:p w:rsidR="00AC463C" w:rsidRDefault="00AC463C" w:rsidP="00AC463C"/>
    <w:p w:rsidR="00C91F78" w:rsidRDefault="00C91F78" w:rsidP="00EC4059">
      <w:pPr>
        <w:ind w:left="990"/>
        <w:rPr>
          <w:b/>
        </w:rPr>
      </w:pPr>
    </w:p>
    <w:p w:rsidR="00AC463C" w:rsidRPr="00313817" w:rsidRDefault="00AC463C" w:rsidP="00EC4059">
      <w:pPr>
        <w:ind w:left="990"/>
        <w:rPr>
          <w:b/>
        </w:rPr>
      </w:pPr>
      <w:bookmarkStart w:id="14" w:name="_GoBack"/>
      <w:bookmarkEnd w:id="14"/>
      <w:r w:rsidRPr="00313817">
        <w:rPr>
          <w:b/>
        </w:rPr>
        <w:lastRenderedPageBreak/>
        <w:t>Background</w:t>
      </w:r>
    </w:p>
    <w:p w:rsidR="00AC463C" w:rsidRDefault="00AC463C" w:rsidP="00EC4059">
      <w:pPr>
        <w:ind w:left="990"/>
      </w:pPr>
      <w:r>
        <w:t>SGC, specifically, Marketing, Human Resources (HR), Sports Betting, Finance and Slot operations, are beginning to identify analytical and decision support requirements that require some sort of EDW/BI capability. To date, we have invested in the Bally Business Intelligence for Slot Operations, Tableau tools for HR, Sports Betting, &amp; Marketing, and various forms of Data extraction &amp; conversion tools including SQL, Showcase, Info PM10, Microsoft Excel and Microsoft Access.</w:t>
      </w:r>
    </w:p>
    <w:p w:rsidR="00AC463C" w:rsidRDefault="00AC463C" w:rsidP="00AC463C"/>
    <w:p w:rsidR="00AC463C" w:rsidRDefault="00AC463C" w:rsidP="00EC4059">
      <w:pPr>
        <w:ind w:left="990"/>
      </w:pPr>
      <w:r>
        <w:t xml:space="preserve">In addition, SGC has developed custom interfaces and continues to develop more custom interfaces to accomplish the extraction of information from various internal and external systems.   It is imperative that SGC invest the time and resources to select and implement a BI suite that aligns with business goals and fosters end-user adoption.     Right now, we are populating ‘one off’ ‘data mart’ and workstation targets so that analytics, reporting and dash boarding </w:t>
      </w:r>
      <w:proofErr w:type="gramStart"/>
      <w:r>
        <w:t>can be accomplished</w:t>
      </w:r>
      <w:proofErr w:type="gramEnd"/>
      <w:r>
        <w:t>.  We do not currently have an enterprise-class strategy for addressing all of our business needs.    Indeed, the speed at which our business units are defining more and more requirements for DW/BI capabilities is outpacing our ability to effectively and efficiently deliver and support such needs without a comprehensive Enterprise DW/BI Strategy and Technical Architecture. Therefore, continuing to build ‘one off’ solutions for each new requirement will quickly become unmanageable, costly, and fall short of the business needs.</w:t>
      </w:r>
    </w:p>
    <w:p w:rsidR="00AC463C" w:rsidRDefault="00AC463C" w:rsidP="00AC463C"/>
    <w:p w:rsidR="00AC463C" w:rsidRDefault="00AC463C" w:rsidP="00EC4059">
      <w:pPr>
        <w:ind w:left="990"/>
      </w:pPr>
      <w:r>
        <w:t>Information Technology team has spent 9+ months raising their IQ understanding of the EDW/BI market landscape and enterprise architecture for digital transformation.   We have participated in workshops, conferences, analyst calls, and poured over market research.  We have also leveraged trusted community partners &amp; colleagues, market leaders and external resources to mature and expand our breadth of knowledge on the discipline of EDW/BI to maximize and optimize any participation in the discovery phase of this project so that we aren’t starting the discovery phase learning what we should already know.</w:t>
      </w:r>
    </w:p>
    <w:p w:rsidR="00AC463C" w:rsidRDefault="00AC463C" w:rsidP="00AC463C"/>
    <w:p w:rsidR="00AC463C" w:rsidRDefault="00AC463C" w:rsidP="00AC463C"/>
    <w:p w:rsidR="00AC463C" w:rsidRDefault="00AC463C" w:rsidP="00CE50EC">
      <w:pPr>
        <w:ind w:left="990"/>
      </w:pPr>
      <w:r>
        <w:t xml:space="preserve">This first step of this ‘Discovery’ initiative will allow us to engage outside expertise to work with our IT Team and select Business Units to design an Enterprise DW/ BI architecture and develop the Business Case that will quantify, qualify, and justify a program to build such a capability here at SGC.  </w:t>
      </w:r>
    </w:p>
    <w:p w:rsidR="00AC463C" w:rsidRDefault="00AC463C" w:rsidP="00EC4059">
      <w:pPr>
        <w:ind w:left="90"/>
      </w:pPr>
    </w:p>
    <w:p w:rsidR="00AC463C" w:rsidRDefault="00AC463C" w:rsidP="00EC4059">
      <w:pPr>
        <w:ind w:left="990"/>
      </w:pPr>
      <w:r>
        <w:t>Data from ‘</w:t>
      </w:r>
      <w:proofErr w:type="spellStart"/>
      <w:r>
        <w:t>siloed</w:t>
      </w:r>
      <w:proofErr w:type="spellEnd"/>
      <w:r>
        <w:t xml:space="preserve">’ sources needs to come together in one place. Every database should be sharing its information into a centralized location called a data warehouse. This is where different information from different departments can </w:t>
      </w:r>
      <w:proofErr w:type="gramStart"/>
      <w:r>
        <w:t>get</w:t>
      </w:r>
      <w:proofErr w:type="gramEnd"/>
      <w:r>
        <w:t xml:space="preserve"> linked together.  Data sources are </w:t>
      </w:r>
      <w:r>
        <w:lastRenderedPageBreak/>
        <w:t>any data structures that support the line of business applications. They reside on many different platforms and can contain structured as well as unstructured data.</w:t>
      </w:r>
    </w:p>
    <w:p w:rsidR="00AC463C" w:rsidRDefault="00AC463C" w:rsidP="00AC463C"/>
    <w:p w:rsidR="00AC463C" w:rsidRDefault="00AC463C" w:rsidP="00AC463C"/>
    <w:p w:rsidR="00AC463C" w:rsidRPr="00313817" w:rsidRDefault="00AC463C" w:rsidP="00EC4059">
      <w:pPr>
        <w:ind w:left="990"/>
        <w:rPr>
          <w:b/>
        </w:rPr>
      </w:pPr>
      <w:r w:rsidRPr="00313817">
        <w:rPr>
          <w:b/>
        </w:rPr>
        <w:t>Business Outcomes</w:t>
      </w:r>
    </w:p>
    <w:p w:rsidR="00AC463C" w:rsidRDefault="00AC463C" w:rsidP="00EC4059">
      <w:pPr>
        <w:ind w:left="990"/>
      </w:pPr>
      <w:r>
        <w:t>1.</w:t>
      </w:r>
      <w:r>
        <w:tab/>
        <w:t xml:space="preserve">A scalable, Strategic Blueprint for an Enterprise DW/BI capability that will service current and evolving business requirements for the entire corporation. </w:t>
      </w:r>
    </w:p>
    <w:p w:rsidR="00AC463C" w:rsidRDefault="00AC463C" w:rsidP="00AC463C"/>
    <w:p w:rsidR="00AC463C" w:rsidRDefault="00AC463C" w:rsidP="004D109A">
      <w:pPr>
        <w:ind w:left="990"/>
      </w:pPr>
      <w:r>
        <w:t>2.</w:t>
      </w:r>
      <w:r>
        <w:tab/>
        <w:t>Qualify the business advantages of an Enterprise DW/BI capability</w:t>
      </w:r>
      <w:proofErr w:type="gramStart"/>
      <w:r>
        <w:t>;</w:t>
      </w:r>
      <w:proofErr w:type="gramEnd"/>
      <w:r>
        <w:t xml:space="preserve"> specifically in the Hospitality, Gaming, and Retail industry. </w:t>
      </w:r>
    </w:p>
    <w:p w:rsidR="00AC463C" w:rsidRDefault="00AC463C" w:rsidP="00AC463C"/>
    <w:p w:rsidR="00AC463C" w:rsidRDefault="00AC463C" w:rsidP="004D109A">
      <w:pPr>
        <w:ind w:left="990"/>
      </w:pPr>
      <w:r>
        <w:t>3.</w:t>
      </w:r>
      <w:r>
        <w:tab/>
        <w:t>Quantify the Cost of building an Enterprise DW/BI Capability</w:t>
      </w:r>
    </w:p>
    <w:p w:rsidR="00AC463C" w:rsidRDefault="00AC463C" w:rsidP="00AC463C"/>
    <w:p w:rsidR="00AC463C" w:rsidRDefault="00AC463C" w:rsidP="004D109A">
      <w:pPr>
        <w:ind w:left="990"/>
      </w:pPr>
      <w:r>
        <w:t>4.</w:t>
      </w:r>
      <w:r>
        <w:tab/>
        <w:t>Justify the investment in an Enterprise DW/BI vs. continuing to invest in ’one-off’ solutions by showing the Return on Investment and Cost Avoidance opportunities. (ROI)</w:t>
      </w:r>
    </w:p>
    <w:p w:rsidR="00556EC3" w:rsidRDefault="00556EC3" w:rsidP="004D109A">
      <w:pPr>
        <w:ind w:left="990"/>
      </w:pPr>
    </w:p>
    <w:p w:rsidR="00313817" w:rsidRDefault="00556EC3" w:rsidP="00556EC3">
      <w:pPr>
        <w:pStyle w:val="Heading1"/>
      </w:pPr>
      <w:r w:rsidRPr="00556EC3">
        <w:t xml:space="preserve">Price and </w:t>
      </w:r>
      <w:r>
        <w:t xml:space="preserve">Vendor </w:t>
      </w:r>
      <w:r w:rsidRPr="00556EC3">
        <w:t xml:space="preserve">Selection Process </w:t>
      </w:r>
    </w:p>
    <w:p w:rsidR="00DF220F" w:rsidRDefault="00DF220F" w:rsidP="00DF220F">
      <w:pPr>
        <w:pStyle w:val="NoSpacing"/>
        <w:ind w:left="720"/>
      </w:pPr>
    </w:p>
    <w:p w:rsidR="00556EC3" w:rsidRDefault="00556EC3" w:rsidP="00DF220F">
      <w:pPr>
        <w:pStyle w:val="NoSpacing"/>
        <w:ind w:left="720"/>
      </w:pPr>
      <w:r>
        <w:t>Please p</w:t>
      </w:r>
      <w:r w:rsidRPr="00556EC3">
        <w:t xml:space="preserve">rovide your </w:t>
      </w:r>
      <w:r w:rsidR="00DF220F">
        <w:t xml:space="preserve">consultation </w:t>
      </w:r>
      <w:r>
        <w:t>price and evidence of experience</w:t>
      </w:r>
      <w:r w:rsidR="00DF220F">
        <w:t xml:space="preserve"> by the RFP deadline date of 4/27/21 by 5pm EST. </w:t>
      </w:r>
      <w:r>
        <w:t xml:space="preserve">After submitting your </w:t>
      </w:r>
      <w:proofErr w:type="gramStart"/>
      <w:r w:rsidR="00DF220F">
        <w:t>bid</w:t>
      </w:r>
      <w:proofErr w:type="gramEnd"/>
      <w:r>
        <w:t xml:space="preserve"> you may </w:t>
      </w:r>
      <w:r w:rsidR="00DF220F">
        <w:t>be contacted by an SGC Team Member to disc</w:t>
      </w:r>
      <w:r w:rsidR="009B700E">
        <w:t xml:space="preserve">uss your consultation offering via video conference call. </w:t>
      </w:r>
    </w:p>
    <w:p w:rsidR="00DF220F" w:rsidRPr="00556EC3" w:rsidRDefault="00DF220F" w:rsidP="00DF220F">
      <w:pPr>
        <w:pStyle w:val="NoSpacing"/>
        <w:ind w:left="720"/>
      </w:pPr>
    </w:p>
    <w:p w:rsidR="004D32F5" w:rsidRDefault="004D32F5" w:rsidP="004D32F5">
      <w:pPr>
        <w:pStyle w:val="Heading2"/>
      </w:pPr>
      <w:bookmarkStart w:id="15" w:name="_Toc17728987"/>
      <w:bookmarkStart w:id="16" w:name="_Toc17988936"/>
      <w:r>
        <w:t>Price/Fee Structure and Terms</w:t>
      </w:r>
      <w:bookmarkEnd w:id="15"/>
      <w:bookmarkEnd w:id="16"/>
    </w:p>
    <w:p w:rsidR="00C6024D" w:rsidRPr="00556EC3" w:rsidRDefault="00AC463C" w:rsidP="00556EC3">
      <w:pPr>
        <w:ind w:left="1440"/>
      </w:pPr>
      <w:r w:rsidRPr="00AC463C">
        <w:t xml:space="preserve">Provide your total </w:t>
      </w:r>
      <w:r w:rsidR="00C6024D">
        <w:t>inclusive price</w:t>
      </w:r>
      <w:r w:rsidRPr="00AC463C">
        <w:t xml:space="preserve"> to</w:t>
      </w:r>
      <w:r w:rsidRPr="00AC463C">
        <w:rPr>
          <w:color w:val="FF0000"/>
        </w:rPr>
        <w:t xml:space="preserve"> </w:t>
      </w:r>
      <w:r w:rsidRPr="00AC463C">
        <w:t>provide your consulting services</w:t>
      </w:r>
      <w:r>
        <w:t xml:space="preserve">. </w:t>
      </w:r>
    </w:p>
    <w:p w:rsidR="00E96538" w:rsidRDefault="00E96538" w:rsidP="00E96538">
      <w:pPr>
        <w:pStyle w:val="Heading2"/>
      </w:pPr>
      <w:bookmarkStart w:id="17" w:name="_Toc17988939"/>
      <w:r>
        <w:t>Price Escalation</w:t>
      </w:r>
      <w:bookmarkEnd w:id="17"/>
    </w:p>
    <w:p w:rsidR="00556EC3" w:rsidRDefault="00556EC3" w:rsidP="00556EC3">
      <w:pPr>
        <w:widowControl w:val="0"/>
        <w:kinsoku w:val="0"/>
        <w:spacing w:after="0" w:line="240" w:lineRule="auto"/>
        <w:ind w:left="1440"/>
        <w:jc w:val="both"/>
        <w:rPr>
          <w:rFonts w:eastAsia="Times New Roman" w:cstheme="minorHAnsi"/>
        </w:rPr>
      </w:pPr>
      <w:r>
        <w:rPr>
          <w:rFonts w:eastAsia="Times New Roman" w:cstheme="minorHAnsi"/>
        </w:rPr>
        <w:t>Prices are fixed.</w:t>
      </w:r>
    </w:p>
    <w:p w:rsidR="00C6024D" w:rsidRPr="00540637" w:rsidRDefault="00C6024D"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18" w:name="_Toc17988943"/>
      <w:r w:rsidRPr="00961C9F">
        <w:rPr>
          <w:rFonts w:eastAsia="Times New Roman"/>
        </w:rPr>
        <w:t>Tax Exempt Status</w:t>
      </w:r>
      <w:bookmarkEnd w:id="18"/>
      <w:r w:rsidRPr="00961C9F">
        <w:rPr>
          <w:rFonts w:eastAsia="Times New Roman"/>
        </w:rPr>
        <w:t xml:space="preserve">  </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C6024D" w:rsidRPr="00EA5550" w:rsidRDefault="00C6024D" w:rsidP="00E96538">
      <w:pPr>
        <w:spacing w:after="12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19" w:name="_Toc17988944"/>
      <w:r w:rsidRPr="00961C9F">
        <w:rPr>
          <w:rFonts w:eastAsia="Times New Roman"/>
        </w:rPr>
        <w:t>Payment Terms</w:t>
      </w:r>
      <w:bookmarkEnd w:id="19"/>
      <w:r w:rsidRPr="00961C9F">
        <w:rPr>
          <w:rFonts w:eastAsia="Times New Roman"/>
        </w:rPr>
        <w:t xml:space="preserve"> </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w:t>
      </w:r>
      <w:r w:rsidRPr="00EA5550">
        <w:rPr>
          <w:rFonts w:eastAsia="Times New Roman" w:cstheme="minorHAnsi"/>
        </w:rPr>
        <w:lastRenderedPageBreak/>
        <w:t>payment/ discount terms in its Proposal.  It is the policy of SGC not to provide deposits unless significant discounts or special circumstances apply.</w:t>
      </w:r>
    </w:p>
    <w:p w:rsidR="009B700E" w:rsidRDefault="009B700E" w:rsidP="00E96538">
      <w:pPr>
        <w:spacing w:after="120" w:line="240" w:lineRule="auto"/>
        <w:ind w:left="1440"/>
        <w:jc w:val="both"/>
        <w:rPr>
          <w:rFonts w:eastAsia="Times New Roman" w:cstheme="minorHAnsi"/>
        </w:rPr>
      </w:pPr>
    </w:p>
    <w:p w:rsidR="009B700E" w:rsidRDefault="009B700E" w:rsidP="009B700E">
      <w:pPr>
        <w:pStyle w:val="Heading2"/>
        <w:rPr>
          <w:rFonts w:eastAsia="Times New Roman"/>
        </w:rPr>
      </w:pPr>
      <w:r>
        <w:rPr>
          <w:rFonts w:eastAsia="Times New Roman"/>
        </w:rPr>
        <w:t>Non-disclosure Agreement</w:t>
      </w:r>
    </w:p>
    <w:p w:rsidR="009B700E" w:rsidRPr="009B700E" w:rsidRDefault="009B700E" w:rsidP="009B700E">
      <w:pPr>
        <w:ind w:left="1440"/>
      </w:pPr>
      <w:r>
        <w:t xml:space="preserve">Prior to receiving specific information, the bidder may be required to sign a non-disclosure agreement with the SGC. </w:t>
      </w:r>
    </w:p>
    <w:p w:rsidR="00C6024D" w:rsidRPr="00EA5550" w:rsidRDefault="00C6024D" w:rsidP="00E96538">
      <w:pPr>
        <w:spacing w:after="120" w:line="240" w:lineRule="auto"/>
        <w:ind w:left="1440"/>
        <w:jc w:val="both"/>
        <w:rPr>
          <w:rFonts w:eastAsia="Times New Roman" w:cstheme="minorHAnsi"/>
        </w:rPr>
      </w:pPr>
    </w:p>
    <w:p w:rsidR="00E96538" w:rsidRPr="000B3F3F" w:rsidRDefault="00E96538" w:rsidP="00E96538">
      <w:pPr>
        <w:pStyle w:val="Heading1"/>
        <w:rPr>
          <w:rFonts w:eastAsia="Times New Roman"/>
        </w:rPr>
      </w:pPr>
      <w:bookmarkStart w:id="20" w:name="_Toc17988945"/>
      <w:r>
        <w:rPr>
          <w:rFonts w:eastAsia="Times New Roman"/>
        </w:rPr>
        <w:t>Supplemental Bidder Information</w:t>
      </w:r>
      <w:bookmarkEnd w:id="20"/>
    </w:p>
    <w:p w:rsidR="00E96538" w:rsidRPr="00961C9F" w:rsidRDefault="00E96538" w:rsidP="00E96538">
      <w:pPr>
        <w:pStyle w:val="Heading2"/>
        <w:rPr>
          <w:rFonts w:eastAsia="Times New Roman"/>
        </w:rPr>
      </w:pPr>
      <w:bookmarkStart w:id="21" w:name="_Toc17988947"/>
      <w:r w:rsidRPr="00961C9F">
        <w:rPr>
          <w:rFonts w:eastAsia="Times New Roman"/>
        </w:rPr>
        <w:t>Conformity of Proposal with SGC Requirements</w:t>
      </w:r>
      <w:bookmarkEnd w:id="21"/>
    </w:p>
    <w:p w:rsidR="00E96538"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C6024D" w:rsidRPr="00EA5550" w:rsidRDefault="00C6024D" w:rsidP="00E96538">
      <w:pPr>
        <w:autoSpaceDE w:val="0"/>
        <w:autoSpaceDN w:val="0"/>
        <w:adjustRightInd w:val="0"/>
        <w:spacing w:after="120" w:line="240" w:lineRule="auto"/>
        <w:ind w:left="1440"/>
        <w:jc w:val="both"/>
        <w:rPr>
          <w:rFonts w:eastAsia="Times New Roman" w:cstheme="minorHAnsi"/>
        </w:rPr>
      </w:pPr>
    </w:p>
    <w:p w:rsidR="00E96538" w:rsidRPr="00961C9F" w:rsidRDefault="00E96538" w:rsidP="00E96538">
      <w:pPr>
        <w:pStyle w:val="Heading1"/>
        <w:rPr>
          <w:rFonts w:eastAsia="Times New Roman"/>
        </w:rPr>
      </w:pPr>
      <w:bookmarkStart w:id="22" w:name="_Toc17988948"/>
      <w:r w:rsidRPr="00961C9F">
        <w:rPr>
          <w:rFonts w:eastAsia="Times New Roman"/>
        </w:rPr>
        <w:t>Vendor Requirements</w:t>
      </w:r>
      <w:bookmarkEnd w:id="22"/>
    </w:p>
    <w:p w:rsidR="00E96538" w:rsidRPr="00961C9F" w:rsidRDefault="00E96538" w:rsidP="00E96538">
      <w:pPr>
        <w:pStyle w:val="Heading2"/>
        <w:rPr>
          <w:rFonts w:eastAsia="Times New Roman"/>
        </w:rPr>
      </w:pPr>
      <w:bookmarkStart w:id="23" w:name="_Toc17988949"/>
      <w:r w:rsidRPr="00961C9F">
        <w:rPr>
          <w:rFonts w:eastAsia="Times New Roman"/>
        </w:rPr>
        <w:t>Proposal</w:t>
      </w:r>
      <w:bookmarkEnd w:id="23"/>
      <w:r w:rsidRPr="00961C9F">
        <w:rPr>
          <w:rFonts w:eastAsia="Times New Roman"/>
        </w:rPr>
        <w:t xml:space="preserve"> </w:t>
      </w:r>
    </w:p>
    <w:p w:rsidR="00C6024D" w:rsidRDefault="00E96538" w:rsidP="00CE50EC">
      <w:pPr>
        <w:ind w:left="1440"/>
        <w:jc w:val="both"/>
      </w:pPr>
      <w:r w:rsidRPr="00961C9F">
        <w:t xml:space="preserve">Successful Bidders should expect that their response to the RFP and any accompanying supporting materials </w:t>
      </w:r>
      <w:proofErr w:type="gramStart"/>
      <w:r w:rsidRPr="00961C9F">
        <w:t>will</w:t>
      </w:r>
      <w:proofErr w:type="gramEnd"/>
      <w:r w:rsidRPr="00961C9F">
        <w:t xml:space="preserve"> be incorporated into any </w:t>
      </w:r>
      <w:r w:rsidR="00C6024D">
        <w:t xml:space="preserve">Purchase Order </w:t>
      </w:r>
      <w:r w:rsidRPr="00961C9F">
        <w:t>with SGC</w:t>
      </w:r>
      <w:r>
        <w:t xml:space="preserve">. </w:t>
      </w:r>
    </w:p>
    <w:p w:rsidR="00E96538" w:rsidRPr="00961C9F" w:rsidRDefault="00E96538" w:rsidP="00E96538">
      <w:pPr>
        <w:pStyle w:val="Heading2"/>
        <w:rPr>
          <w:rFonts w:eastAsia="Times New Roman"/>
        </w:rPr>
      </w:pPr>
      <w:bookmarkStart w:id="24" w:name="_Toc17988951"/>
      <w:r w:rsidRPr="00961C9F">
        <w:rPr>
          <w:rFonts w:eastAsia="Times New Roman"/>
        </w:rPr>
        <w:t>Agreement</w:t>
      </w:r>
      <w:bookmarkEnd w:id="24"/>
      <w:r w:rsidRPr="00961C9F">
        <w:rPr>
          <w:rFonts w:eastAsia="Times New Roman"/>
        </w:rPr>
        <w:t xml:space="preserve">  </w:t>
      </w:r>
    </w:p>
    <w:p w:rsidR="00C6024D" w:rsidRPr="00C6024D" w:rsidRDefault="00E96538" w:rsidP="00CE50EC">
      <w:pPr>
        <w:autoSpaceDE w:val="0"/>
        <w:autoSpaceDN w:val="0"/>
        <w:adjustRightInd w:val="0"/>
        <w:spacing w:after="120" w:line="240" w:lineRule="auto"/>
        <w:ind w:left="1440"/>
        <w:jc w:val="both"/>
        <w:rPr>
          <w:rFonts w:eastAsia="Times New Roman" w:cstheme="minorHAnsi"/>
          <w:color w:val="FF0000"/>
        </w:rPr>
      </w:pPr>
      <w:r w:rsidRPr="00C6024D">
        <w:rPr>
          <w:rFonts w:eastAsia="Times New Roman" w:cstheme="minorHAnsi"/>
        </w:rPr>
        <w:t xml:space="preserve">Successful Bidder </w:t>
      </w:r>
      <w:proofErr w:type="gramStart"/>
      <w:r w:rsidRPr="00C6024D">
        <w:rPr>
          <w:rFonts w:eastAsia="Times New Roman" w:cstheme="minorHAnsi"/>
        </w:rPr>
        <w:t xml:space="preserve">will be </w:t>
      </w:r>
      <w:r w:rsidR="00C6024D" w:rsidRPr="00C6024D">
        <w:rPr>
          <w:rFonts w:eastAsia="Times New Roman" w:cstheme="minorHAnsi"/>
        </w:rPr>
        <w:t>issued</w:t>
      </w:r>
      <w:proofErr w:type="gramEnd"/>
      <w:r w:rsidR="00C6024D" w:rsidRPr="00C6024D">
        <w:rPr>
          <w:rFonts w:eastAsia="Times New Roman" w:cstheme="minorHAnsi"/>
        </w:rPr>
        <w:t xml:space="preserve"> a Purchase Order.</w:t>
      </w:r>
      <w:r w:rsidR="00C6024D" w:rsidRPr="00C6024D">
        <w:rPr>
          <w:rFonts w:eastAsia="Times New Roman" w:cstheme="minorHAnsi"/>
          <w:color w:val="FF0000"/>
        </w:rPr>
        <w:t xml:space="preserve"> </w:t>
      </w:r>
    </w:p>
    <w:p w:rsidR="00E96538" w:rsidRDefault="00DF220F" w:rsidP="00E96538">
      <w:pPr>
        <w:pStyle w:val="Heading1"/>
        <w:rPr>
          <w:rFonts w:eastAsia="Times New Roman"/>
        </w:rPr>
      </w:pPr>
      <w:bookmarkStart w:id="25" w:name="_Toc17988957"/>
      <w:r>
        <w:rPr>
          <w:rFonts w:eastAsia="Times New Roman"/>
        </w:rPr>
        <w:t xml:space="preserve">Bidder </w:t>
      </w:r>
      <w:r w:rsidR="00E96538" w:rsidRPr="0034489C">
        <w:rPr>
          <w:rFonts w:eastAsia="Times New Roman"/>
        </w:rPr>
        <w:t>Cert</w:t>
      </w:r>
      <w:r w:rsidR="00E96538">
        <w:rPr>
          <w:rFonts w:eastAsia="Times New Roman"/>
        </w:rPr>
        <w:t>ifications and Representations</w:t>
      </w:r>
      <w:bookmarkEnd w:id="25"/>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is aware of, </w:t>
      </w:r>
      <w:proofErr w:type="gramStart"/>
      <w:r w:rsidRPr="000D3766">
        <w:rPr>
          <w:rFonts w:eastAsia="Times New Roman" w:cstheme="minorHAnsi"/>
        </w:rPr>
        <w:t>is fully informed</w:t>
      </w:r>
      <w:proofErr w:type="gramEnd"/>
      <w:r w:rsidRPr="000D3766">
        <w:rPr>
          <w:rFonts w:eastAsia="Times New Roman" w:cstheme="minorHAnsi"/>
        </w:rPr>
        <w:t xml:space="preserve">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understands the requirements and specifications set forth in this RFP and affirms that no compensation </w:t>
      </w:r>
      <w:proofErr w:type="gramStart"/>
      <w:r w:rsidRPr="000D3766">
        <w:rPr>
          <w:rFonts w:eastAsia="Times New Roman" w:cstheme="minorHAnsi"/>
        </w:rPr>
        <w:t>has been received</w:t>
      </w:r>
      <w:proofErr w:type="gramEnd"/>
      <w:r w:rsidRPr="000D3766">
        <w:rPr>
          <w:rFonts w:eastAsia="Times New Roman" w:cstheme="minorHAnsi"/>
        </w:rPr>
        <w:t xml:space="preserve">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All statements, information and representations prepared and submitted in response to this RFP are current, complete, true and accurate. Bidder acknowledges that SGC will rely on such statements, information and representations in selecting the Awarded Vendor. If selected by SGC </w:t>
      </w:r>
      <w:r w:rsidRPr="000D3766">
        <w:rPr>
          <w:rFonts w:eastAsia="Times New Roman" w:cstheme="minorHAnsi"/>
        </w:rPr>
        <w:lastRenderedPageBreak/>
        <w:t>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 xml:space="preserve">I, the undersigned, hereby certify that I </w:t>
      </w:r>
      <w:proofErr w:type="gramStart"/>
      <w:r w:rsidRPr="00060A6C">
        <w:rPr>
          <w:rFonts w:eastAsia="Times New Roman" w:cstheme="minorHAnsi"/>
          <w:b/>
          <w:sz w:val="24"/>
          <w:szCs w:val="24"/>
        </w:rPr>
        <w:t>am authorized</w:t>
      </w:r>
      <w:proofErr w:type="gramEnd"/>
      <w:r w:rsidRPr="00060A6C">
        <w:rPr>
          <w:rFonts w:eastAsia="Times New Roman" w:cstheme="minorHAnsi"/>
          <w:b/>
          <w:sz w:val="24"/>
          <w:szCs w:val="24"/>
        </w:rPr>
        <w:t xml:space="preserve">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proofErr w:type="gramStart"/>
      <w:r w:rsidRPr="00961C9F">
        <w:rPr>
          <w:rFonts w:eastAsia="Times New Roman" w:cstheme="minorHAnsi"/>
          <w:sz w:val="24"/>
          <w:szCs w:val="24"/>
        </w:rPr>
        <w:t>Representative’s</w:t>
      </w:r>
      <w:proofErr w:type="gramEnd"/>
      <w:r w:rsidRPr="00961C9F">
        <w:rPr>
          <w:rFonts w:eastAsia="Times New Roman" w:cstheme="minorHAnsi"/>
          <w:sz w:val="24"/>
          <w:szCs w:val="24"/>
        </w:rPr>
        <w:t xml:space="preserve">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1F78">
          <w:rPr>
            <w:noProof/>
          </w:rPr>
          <w:t>10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89F6CFE"/>
    <w:multiLevelType w:val="hybridMultilevel"/>
    <w:tmpl w:val="A738A81E"/>
    <w:lvl w:ilvl="0" w:tplc="DDC2F698">
      <w:start w:val="3"/>
      <w:numFmt w:val="bullet"/>
      <w:lvlText w:val=""/>
      <w:lvlJc w:val="left"/>
      <w:pPr>
        <w:ind w:left="1810" w:hanging="360"/>
      </w:pPr>
      <w:rPr>
        <w:rFonts w:ascii="Symbol" w:eastAsiaTheme="minorHAnsi" w:hAnsi="Symbol" w:cstheme="minorBidi" w:hint="default"/>
        <w:sz w:val="32"/>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14E5A44"/>
    <w:multiLevelType w:val="hybridMultilevel"/>
    <w:tmpl w:val="74DCA28C"/>
    <w:lvl w:ilvl="0" w:tplc="40EAA3FC">
      <w:start w:val="4"/>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3"/>
  </w:num>
  <w:num w:numId="3">
    <w:abstractNumId w:val="2"/>
  </w:num>
  <w:num w:numId="4">
    <w:abstractNumId w:val="6"/>
  </w:num>
  <w:num w:numId="5">
    <w:abstractNumId w:val="4"/>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46A17"/>
    <w:rsid w:val="00095C9F"/>
    <w:rsid w:val="000C7E35"/>
    <w:rsid w:val="001D009D"/>
    <w:rsid w:val="0023713C"/>
    <w:rsid w:val="00237E51"/>
    <w:rsid w:val="00313817"/>
    <w:rsid w:val="0039507E"/>
    <w:rsid w:val="00456E00"/>
    <w:rsid w:val="00470E46"/>
    <w:rsid w:val="004D109A"/>
    <w:rsid w:val="004D32F5"/>
    <w:rsid w:val="004F2163"/>
    <w:rsid w:val="00540637"/>
    <w:rsid w:val="00556EC3"/>
    <w:rsid w:val="0059064A"/>
    <w:rsid w:val="006A381D"/>
    <w:rsid w:val="007F794E"/>
    <w:rsid w:val="00834241"/>
    <w:rsid w:val="008A6C78"/>
    <w:rsid w:val="009B700E"/>
    <w:rsid w:val="009D2F2D"/>
    <w:rsid w:val="009F7D2E"/>
    <w:rsid w:val="00A95921"/>
    <w:rsid w:val="00AC463C"/>
    <w:rsid w:val="00AF4017"/>
    <w:rsid w:val="00B04250"/>
    <w:rsid w:val="00C6024D"/>
    <w:rsid w:val="00C60AFF"/>
    <w:rsid w:val="00C91F78"/>
    <w:rsid w:val="00CE50EC"/>
    <w:rsid w:val="00DF220F"/>
    <w:rsid w:val="00E96538"/>
    <w:rsid w:val="00EC4059"/>
    <w:rsid w:val="00EC6C70"/>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C755"/>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Charles Saxe</cp:lastModifiedBy>
  <cp:revision>13</cp:revision>
  <dcterms:created xsi:type="dcterms:W3CDTF">2021-04-07T13:10:00Z</dcterms:created>
  <dcterms:modified xsi:type="dcterms:W3CDTF">2021-04-13T15:51:00Z</dcterms:modified>
</cp:coreProperties>
</file>