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bookmarkStart w:id="0" w:name="_GoBack"/>
        <w:bookmarkEnd w:id="0"/>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45960" cy="10033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1003300"/>
                            </a:xfrm>
                            <a:prstGeom prst="rect">
                              <a:avLst/>
                            </a:prstGeom>
                            <a:noFill/>
                            <a:ln w="6350">
                              <a:noFill/>
                            </a:ln>
                            <a:effectLst/>
                          </wps:spPr>
                          <wps:txbx>
                            <w:txbxContent>
                              <w:p w:rsidR="00491218" w:rsidRDefault="00491218" w:rsidP="00E96538">
                                <w:pPr>
                                  <w:pStyle w:val="NoSpacing"/>
                                  <w:jc w:val="right"/>
                                  <w:rPr>
                                    <w:color w:val="5B9BD5" w:themeColor="accent1"/>
                                    <w:sz w:val="40"/>
                                    <w:szCs w:val="40"/>
                                  </w:rPr>
                                </w:pPr>
                                <w:r>
                                  <w:rPr>
                                    <w:color w:val="5B9BD5" w:themeColor="accent1"/>
                                    <w:sz w:val="40"/>
                                    <w:szCs w:val="40"/>
                                  </w:rPr>
                                  <w:t>Request For Proposal</w:t>
                                </w:r>
                              </w:p>
                              <w:p w:rsidR="004F2163" w:rsidRPr="00E96538" w:rsidRDefault="00491218" w:rsidP="00B26443">
                                <w:pPr>
                                  <w:pStyle w:val="NoSpacing"/>
                                  <w:ind w:left="-1440"/>
                                  <w:jc w:val="right"/>
                                  <w:rPr>
                                    <w:color w:val="595959" w:themeColor="text1" w:themeTint="A6"/>
                                    <w:sz w:val="40"/>
                                    <w:szCs w:val="40"/>
                                  </w:rPr>
                                </w:pPr>
                                <w:r w:rsidRPr="00491218">
                                  <w:rPr>
                                    <w:color w:val="5B9BD5" w:themeColor="accent1"/>
                                    <w:sz w:val="40"/>
                                    <w:szCs w:val="40"/>
                                  </w:rPr>
                                  <w:t>RFP SRC-00</w:t>
                                </w:r>
                                <w:r w:rsidR="009815F3">
                                  <w:rPr>
                                    <w:color w:val="5B9BD5" w:themeColor="accent1"/>
                                    <w:sz w:val="40"/>
                                    <w:szCs w:val="40"/>
                                  </w:rPr>
                                  <w:t>42</w:t>
                                </w:r>
                                <w:r w:rsidRPr="00491218">
                                  <w:rPr>
                                    <w:color w:val="5B9BD5" w:themeColor="accent1"/>
                                    <w:sz w:val="40"/>
                                    <w:szCs w:val="40"/>
                                  </w:rPr>
                                  <w:t>-2</w:t>
                                </w:r>
                                <w:r w:rsidR="009815F3">
                                  <w:rPr>
                                    <w:color w:val="5B9BD5" w:themeColor="accent1"/>
                                    <w:sz w:val="40"/>
                                    <w:szCs w:val="40"/>
                                  </w:rPr>
                                  <w:t>2</w:t>
                                </w:r>
                                <w:r>
                                  <w:rPr>
                                    <w:color w:val="5B9BD5" w:themeColor="accent1"/>
                                    <w:sz w:val="40"/>
                                    <w:szCs w:val="40"/>
                                  </w:rPr>
                                  <w:t xml:space="preserve">HW </w:t>
                                </w:r>
                                <w:r w:rsidR="009815F3">
                                  <w:rPr>
                                    <w:color w:val="5B9BD5" w:themeColor="accent1"/>
                                    <w:sz w:val="40"/>
                                    <w:szCs w:val="40"/>
                                  </w:rPr>
                                  <w:t>Chemical Asphalt Rehabilitation</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54.8pt;height: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" filled="f" stroked="f" strokeweight=".5pt">
                    <v:textbox inset="126pt,0,54pt,0">
                      <w:txbxContent>
                        <w:p w:rsidR="00491218" w:rsidRDefault="00491218" w:rsidP="00E96538">
                          <w:pPr>
                            <w:pStyle w:val="NoSpacing"/>
                            <w:jc w:val="right"/>
                            <w:rPr>
                              <w:color w:val="5B9BD5" w:themeColor="accent1"/>
                              <w:sz w:val="40"/>
                              <w:szCs w:val="40"/>
                            </w:rPr>
                          </w:pPr>
                          <w:r>
                            <w:rPr>
                              <w:color w:val="5B9BD5" w:themeColor="accent1"/>
                              <w:sz w:val="40"/>
                              <w:szCs w:val="40"/>
                            </w:rPr>
                            <w:t>Request For Proposal</w:t>
                          </w:r>
                        </w:p>
                        <w:p w:rsidR="004F2163" w:rsidRPr="00E96538" w:rsidRDefault="00491218" w:rsidP="00B26443">
                          <w:pPr>
                            <w:pStyle w:val="NoSpacing"/>
                            <w:ind w:left="-1440"/>
                            <w:jc w:val="right"/>
                            <w:rPr>
                              <w:color w:val="595959" w:themeColor="text1" w:themeTint="A6"/>
                              <w:sz w:val="40"/>
                              <w:szCs w:val="40"/>
                            </w:rPr>
                          </w:pPr>
                          <w:r w:rsidRPr="00491218">
                            <w:rPr>
                              <w:color w:val="5B9BD5" w:themeColor="accent1"/>
                              <w:sz w:val="40"/>
                              <w:szCs w:val="40"/>
                            </w:rPr>
                            <w:t>RFP SRC-00</w:t>
                          </w:r>
                          <w:r w:rsidR="009815F3">
                            <w:rPr>
                              <w:color w:val="5B9BD5" w:themeColor="accent1"/>
                              <w:sz w:val="40"/>
                              <w:szCs w:val="40"/>
                            </w:rPr>
                            <w:t>42</w:t>
                          </w:r>
                          <w:r w:rsidRPr="00491218">
                            <w:rPr>
                              <w:color w:val="5B9BD5" w:themeColor="accent1"/>
                              <w:sz w:val="40"/>
                              <w:szCs w:val="40"/>
                            </w:rPr>
                            <w:t>-2</w:t>
                          </w:r>
                          <w:r w:rsidR="009815F3">
                            <w:rPr>
                              <w:color w:val="5B9BD5" w:themeColor="accent1"/>
                              <w:sz w:val="40"/>
                              <w:szCs w:val="40"/>
                            </w:rPr>
                            <w:t>2</w:t>
                          </w:r>
                          <w:r>
                            <w:rPr>
                              <w:color w:val="5B9BD5" w:themeColor="accent1"/>
                              <w:sz w:val="40"/>
                              <w:szCs w:val="40"/>
                            </w:rPr>
                            <w:t xml:space="preserve">HW </w:t>
                          </w:r>
                          <w:r w:rsidR="009815F3">
                            <w:rPr>
                              <w:color w:val="5B9BD5" w:themeColor="accent1"/>
                              <w:sz w:val="40"/>
                              <w:szCs w:val="40"/>
                            </w:rPr>
                            <w:t>Chemical Asphalt Rehabilitation</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E654A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505590"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0F7E7B"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9302399" w:history="1">
            <w:r w:rsidR="000F7E7B" w:rsidRPr="00C47906">
              <w:rPr>
                <w:rStyle w:val="Hyperlink"/>
                <w:noProof/>
              </w:rPr>
              <w:t>I.</w:t>
            </w:r>
            <w:r w:rsidR="000F7E7B">
              <w:rPr>
                <w:rFonts w:eastAsiaTheme="minorEastAsia"/>
                <w:noProof/>
              </w:rPr>
              <w:tab/>
            </w:r>
            <w:r w:rsidR="000F7E7B" w:rsidRPr="00C47906">
              <w:rPr>
                <w:rStyle w:val="Hyperlink"/>
                <w:noProof/>
              </w:rPr>
              <w:t>Introduction</w:t>
            </w:r>
            <w:r w:rsidR="000F7E7B">
              <w:rPr>
                <w:noProof/>
                <w:webHidden/>
              </w:rPr>
              <w:tab/>
            </w:r>
            <w:r w:rsidR="000F7E7B">
              <w:rPr>
                <w:noProof/>
                <w:webHidden/>
              </w:rPr>
              <w:fldChar w:fldCharType="begin"/>
            </w:r>
            <w:r w:rsidR="000F7E7B">
              <w:rPr>
                <w:noProof/>
                <w:webHidden/>
              </w:rPr>
              <w:instrText xml:space="preserve"> PAGEREF _Toc69302399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E654A8">
          <w:pPr>
            <w:pStyle w:val="TOC1"/>
            <w:tabs>
              <w:tab w:val="left" w:pos="440"/>
              <w:tab w:val="right" w:leader="dot" w:pos="9350"/>
            </w:tabs>
            <w:rPr>
              <w:rFonts w:eastAsiaTheme="minorEastAsia"/>
              <w:noProof/>
            </w:rPr>
          </w:pPr>
          <w:hyperlink w:anchor="_Toc69302400" w:history="1">
            <w:r w:rsidR="000F7E7B" w:rsidRPr="00C47906">
              <w:rPr>
                <w:rStyle w:val="Hyperlink"/>
                <w:noProof/>
              </w:rPr>
              <w:t>II.</w:t>
            </w:r>
            <w:r w:rsidR="000F7E7B">
              <w:rPr>
                <w:rFonts w:eastAsiaTheme="minorEastAsia"/>
                <w:noProof/>
              </w:rPr>
              <w:tab/>
            </w:r>
            <w:r w:rsidR="000F7E7B" w:rsidRPr="00C47906">
              <w:rPr>
                <w:rStyle w:val="Hyperlink"/>
                <w:noProof/>
              </w:rPr>
              <w:t>RFP Objective</w:t>
            </w:r>
            <w:r w:rsidR="000F7E7B">
              <w:rPr>
                <w:noProof/>
                <w:webHidden/>
              </w:rPr>
              <w:tab/>
            </w:r>
            <w:r w:rsidR="000F7E7B">
              <w:rPr>
                <w:noProof/>
                <w:webHidden/>
              </w:rPr>
              <w:fldChar w:fldCharType="begin"/>
            </w:r>
            <w:r w:rsidR="000F7E7B">
              <w:rPr>
                <w:noProof/>
                <w:webHidden/>
              </w:rPr>
              <w:instrText xml:space="preserve"> PAGEREF _Toc69302400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E654A8">
          <w:pPr>
            <w:pStyle w:val="TOC1"/>
            <w:tabs>
              <w:tab w:val="left" w:pos="660"/>
              <w:tab w:val="right" w:leader="dot" w:pos="9350"/>
            </w:tabs>
            <w:rPr>
              <w:rFonts w:eastAsiaTheme="minorEastAsia"/>
              <w:noProof/>
            </w:rPr>
          </w:pPr>
          <w:hyperlink w:anchor="_Toc69302401" w:history="1">
            <w:r w:rsidR="000F7E7B" w:rsidRPr="00C47906">
              <w:rPr>
                <w:rStyle w:val="Hyperlink"/>
                <w:noProof/>
              </w:rPr>
              <w:t>III.</w:t>
            </w:r>
            <w:r w:rsidR="000F7E7B">
              <w:rPr>
                <w:rFonts w:eastAsiaTheme="minorEastAsia"/>
                <w:noProof/>
              </w:rPr>
              <w:tab/>
            </w:r>
            <w:r w:rsidR="000F7E7B" w:rsidRPr="00C47906">
              <w:rPr>
                <w:rStyle w:val="Hyperlink"/>
                <w:noProof/>
              </w:rPr>
              <w:t>RFP Administrative Information</w:t>
            </w:r>
            <w:r w:rsidR="000F7E7B">
              <w:rPr>
                <w:noProof/>
                <w:webHidden/>
              </w:rPr>
              <w:tab/>
            </w:r>
            <w:r w:rsidR="000F7E7B">
              <w:rPr>
                <w:noProof/>
                <w:webHidden/>
              </w:rPr>
              <w:fldChar w:fldCharType="begin"/>
            </w:r>
            <w:r w:rsidR="000F7E7B">
              <w:rPr>
                <w:noProof/>
                <w:webHidden/>
              </w:rPr>
              <w:instrText xml:space="preserve"> PAGEREF _Toc69302401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2" w:history="1">
            <w:r w:rsidR="000F7E7B" w:rsidRPr="00C47906">
              <w:rPr>
                <w:rStyle w:val="Hyperlink"/>
                <w:noProof/>
              </w:rPr>
              <w:t>A.</w:t>
            </w:r>
            <w:r w:rsidR="000F7E7B">
              <w:rPr>
                <w:rFonts w:eastAsiaTheme="minorEastAsia"/>
                <w:noProof/>
              </w:rPr>
              <w:tab/>
            </w:r>
            <w:r w:rsidR="000F7E7B" w:rsidRPr="00C47906">
              <w:rPr>
                <w:rStyle w:val="Hyperlink"/>
                <w:noProof/>
              </w:rPr>
              <w:t>Contact Information</w:t>
            </w:r>
            <w:r w:rsidR="000F7E7B">
              <w:rPr>
                <w:noProof/>
                <w:webHidden/>
              </w:rPr>
              <w:tab/>
            </w:r>
            <w:r w:rsidR="000F7E7B">
              <w:rPr>
                <w:noProof/>
                <w:webHidden/>
              </w:rPr>
              <w:fldChar w:fldCharType="begin"/>
            </w:r>
            <w:r w:rsidR="000F7E7B">
              <w:rPr>
                <w:noProof/>
                <w:webHidden/>
              </w:rPr>
              <w:instrText xml:space="preserve"> PAGEREF _Toc69302402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3" w:history="1">
            <w:r w:rsidR="000F7E7B" w:rsidRPr="00C47906">
              <w:rPr>
                <w:rStyle w:val="Hyperlink"/>
                <w:noProof/>
              </w:rPr>
              <w:t>B.</w:t>
            </w:r>
            <w:r w:rsidR="000F7E7B">
              <w:rPr>
                <w:rFonts w:eastAsiaTheme="minorEastAsia"/>
                <w:noProof/>
              </w:rPr>
              <w:tab/>
            </w:r>
            <w:r w:rsidR="000F7E7B" w:rsidRPr="00C47906">
              <w:rPr>
                <w:rStyle w:val="Hyperlink"/>
                <w:noProof/>
              </w:rPr>
              <w:t>Schedule of Events</w:t>
            </w:r>
            <w:r w:rsidR="000F7E7B">
              <w:rPr>
                <w:noProof/>
                <w:webHidden/>
              </w:rPr>
              <w:tab/>
            </w:r>
            <w:r w:rsidR="000F7E7B">
              <w:rPr>
                <w:noProof/>
                <w:webHidden/>
              </w:rPr>
              <w:fldChar w:fldCharType="begin"/>
            </w:r>
            <w:r w:rsidR="000F7E7B">
              <w:rPr>
                <w:noProof/>
                <w:webHidden/>
              </w:rPr>
              <w:instrText xml:space="preserve"> PAGEREF _Toc69302403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4" w:history="1">
            <w:r w:rsidR="000F7E7B" w:rsidRPr="00C47906">
              <w:rPr>
                <w:rStyle w:val="Hyperlink"/>
                <w:rFonts w:eastAsia="Times New Roman"/>
                <w:noProof/>
              </w:rPr>
              <w:t>C.</w:t>
            </w:r>
            <w:r w:rsidR="000F7E7B">
              <w:rPr>
                <w:rFonts w:eastAsiaTheme="minorEastAsia"/>
                <w:noProof/>
              </w:rPr>
              <w:tab/>
            </w:r>
            <w:r w:rsidR="000F7E7B" w:rsidRPr="00C47906">
              <w:rPr>
                <w:rStyle w:val="Hyperlink"/>
                <w:rFonts w:eastAsia="Times New Roman"/>
                <w:noProof/>
              </w:rPr>
              <w:t>Bidder Questions &amp; Request for Walkthrough</w:t>
            </w:r>
            <w:r w:rsidR="000F7E7B">
              <w:rPr>
                <w:noProof/>
                <w:webHidden/>
              </w:rPr>
              <w:tab/>
            </w:r>
            <w:r w:rsidR="000F7E7B">
              <w:rPr>
                <w:noProof/>
                <w:webHidden/>
              </w:rPr>
              <w:fldChar w:fldCharType="begin"/>
            </w:r>
            <w:r w:rsidR="000F7E7B">
              <w:rPr>
                <w:noProof/>
                <w:webHidden/>
              </w:rPr>
              <w:instrText xml:space="preserve"> PAGEREF _Toc69302404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5" w:history="1">
            <w:r w:rsidR="000F7E7B" w:rsidRPr="00C47906">
              <w:rPr>
                <w:rStyle w:val="Hyperlink"/>
                <w:rFonts w:eastAsia="Times New Roman"/>
                <w:noProof/>
              </w:rPr>
              <w:t>D.</w:t>
            </w:r>
            <w:r w:rsidR="000F7E7B">
              <w:rPr>
                <w:rFonts w:eastAsiaTheme="minorEastAsia"/>
                <w:noProof/>
              </w:rPr>
              <w:tab/>
            </w:r>
            <w:r w:rsidR="000F7E7B" w:rsidRPr="00C47906">
              <w:rPr>
                <w:rStyle w:val="Hyperlink"/>
                <w:rFonts w:eastAsia="Times New Roman"/>
                <w:noProof/>
              </w:rPr>
              <w:t>Submission of Proposals</w:t>
            </w:r>
            <w:r w:rsidR="000F7E7B">
              <w:rPr>
                <w:noProof/>
                <w:webHidden/>
              </w:rPr>
              <w:tab/>
            </w:r>
            <w:r w:rsidR="000F7E7B">
              <w:rPr>
                <w:noProof/>
                <w:webHidden/>
              </w:rPr>
              <w:fldChar w:fldCharType="begin"/>
            </w:r>
            <w:r w:rsidR="000F7E7B">
              <w:rPr>
                <w:noProof/>
                <w:webHidden/>
              </w:rPr>
              <w:instrText xml:space="preserve"> PAGEREF _Toc69302405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6" w:history="1">
            <w:r w:rsidR="000F7E7B" w:rsidRPr="00C47906">
              <w:rPr>
                <w:rStyle w:val="Hyperlink"/>
                <w:rFonts w:eastAsia="Times New Roman"/>
                <w:noProof/>
              </w:rPr>
              <w:t>E.</w:t>
            </w:r>
            <w:r w:rsidR="000F7E7B">
              <w:rPr>
                <w:rFonts w:eastAsiaTheme="minorEastAsia"/>
                <w:noProof/>
              </w:rPr>
              <w:tab/>
            </w:r>
            <w:r w:rsidR="000F7E7B" w:rsidRPr="00C47906">
              <w:rPr>
                <w:rStyle w:val="Hyperlink"/>
                <w:rFonts w:eastAsia="Times New Roman"/>
                <w:noProof/>
              </w:rPr>
              <w:t>Proposal Format</w:t>
            </w:r>
            <w:r w:rsidR="000F7E7B">
              <w:rPr>
                <w:noProof/>
                <w:webHidden/>
              </w:rPr>
              <w:tab/>
            </w:r>
            <w:r w:rsidR="000F7E7B">
              <w:rPr>
                <w:noProof/>
                <w:webHidden/>
              </w:rPr>
              <w:fldChar w:fldCharType="begin"/>
            </w:r>
            <w:r w:rsidR="000F7E7B">
              <w:rPr>
                <w:noProof/>
                <w:webHidden/>
              </w:rPr>
              <w:instrText xml:space="preserve"> PAGEREF _Toc69302406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7" w:history="1">
            <w:r w:rsidR="000F7E7B" w:rsidRPr="00C47906">
              <w:rPr>
                <w:rStyle w:val="Hyperlink"/>
                <w:rFonts w:eastAsia="Times New Roman"/>
                <w:noProof/>
              </w:rPr>
              <w:t>F.</w:t>
            </w:r>
            <w:r w:rsidR="000F7E7B">
              <w:rPr>
                <w:rFonts w:eastAsiaTheme="minorEastAsia"/>
                <w:noProof/>
              </w:rPr>
              <w:tab/>
            </w:r>
            <w:r w:rsidR="000F7E7B" w:rsidRPr="00C47906">
              <w:rPr>
                <w:rStyle w:val="Hyperlink"/>
                <w:rFonts w:eastAsia="Times New Roman"/>
                <w:noProof/>
              </w:rPr>
              <w:t>Proposal Evaluation/Vendor Selection</w:t>
            </w:r>
            <w:r w:rsidR="000F7E7B">
              <w:rPr>
                <w:noProof/>
                <w:webHidden/>
              </w:rPr>
              <w:tab/>
            </w:r>
            <w:r w:rsidR="000F7E7B">
              <w:rPr>
                <w:noProof/>
                <w:webHidden/>
              </w:rPr>
              <w:fldChar w:fldCharType="begin"/>
            </w:r>
            <w:r w:rsidR="000F7E7B">
              <w:rPr>
                <w:noProof/>
                <w:webHidden/>
              </w:rPr>
              <w:instrText xml:space="preserve"> PAGEREF _Toc69302407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8" w:history="1">
            <w:r w:rsidR="000F7E7B" w:rsidRPr="00C47906">
              <w:rPr>
                <w:rStyle w:val="Hyperlink"/>
                <w:rFonts w:eastAsia="Times New Roman"/>
                <w:noProof/>
              </w:rPr>
              <w:t>G.</w:t>
            </w:r>
            <w:r w:rsidR="000F7E7B">
              <w:rPr>
                <w:rFonts w:eastAsiaTheme="minorEastAsia"/>
                <w:noProof/>
              </w:rPr>
              <w:tab/>
            </w:r>
            <w:r w:rsidR="000F7E7B" w:rsidRPr="00C47906">
              <w:rPr>
                <w:rStyle w:val="Hyperlink"/>
                <w:rFonts w:eastAsia="Times New Roman"/>
                <w:noProof/>
              </w:rPr>
              <w:t>General Bidder Information</w:t>
            </w:r>
            <w:r w:rsidR="000F7E7B">
              <w:rPr>
                <w:noProof/>
                <w:webHidden/>
              </w:rPr>
              <w:tab/>
            </w:r>
            <w:r w:rsidR="000F7E7B">
              <w:rPr>
                <w:noProof/>
                <w:webHidden/>
              </w:rPr>
              <w:fldChar w:fldCharType="begin"/>
            </w:r>
            <w:r w:rsidR="000F7E7B">
              <w:rPr>
                <w:noProof/>
                <w:webHidden/>
              </w:rPr>
              <w:instrText xml:space="preserve"> PAGEREF _Toc69302408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09" w:history="1">
            <w:r w:rsidR="000F7E7B" w:rsidRPr="00C47906">
              <w:rPr>
                <w:rStyle w:val="Hyperlink"/>
                <w:rFonts w:eastAsia="Times New Roman"/>
                <w:noProof/>
              </w:rPr>
              <w:t>H.</w:t>
            </w:r>
            <w:r w:rsidR="000F7E7B">
              <w:rPr>
                <w:rFonts w:eastAsiaTheme="minorEastAsia"/>
                <w:noProof/>
              </w:rPr>
              <w:tab/>
            </w:r>
            <w:r w:rsidR="000F7E7B" w:rsidRPr="00C47906">
              <w:rPr>
                <w:rStyle w:val="Hyperlink"/>
                <w:rFonts w:eastAsia="Times New Roman"/>
                <w:noProof/>
              </w:rPr>
              <w:t>SGC Standard Terms and Conditions</w:t>
            </w:r>
            <w:r w:rsidR="000F7E7B">
              <w:rPr>
                <w:noProof/>
                <w:webHidden/>
              </w:rPr>
              <w:tab/>
            </w:r>
            <w:r w:rsidR="000F7E7B">
              <w:rPr>
                <w:noProof/>
                <w:webHidden/>
              </w:rPr>
              <w:fldChar w:fldCharType="begin"/>
            </w:r>
            <w:r w:rsidR="000F7E7B">
              <w:rPr>
                <w:noProof/>
                <w:webHidden/>
              </w:rPr>
              <w:instrText xml:space="preserve"> PAGEREF _Toc69302409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E654A8" w:rsidP="00B244CD">
          <w:pPr>
            <w:pStyle w:val="TOC1"/>
            <w:tabs>
              <w:tab w:val="left" w:pos="660"/>
              <w:tab w:val="right" w:leader="dot" w:pos="9350"/>
            </w:tabs>
            <w:rPr>
              <w:rFonts w:eastAsiaTheme="minorEastAsia"/>
              <w:noProof/>
            </w:rPr>
          </w:pPr>
          <w:hyperlink w:anchor="_Toc69302410" w:history="1">
            <w:r w:rsidR="000F7E7B" w:rsidRPr="00C47906">
              <w:rPr>
                <w:rStyle w:val="Hyperlink"/>
                <w:rFonts w:eastAsia="Times New Roman"/>
                <w:noProof/>
              </w:rPr>
              <w:t>IV.</w:t>
            </w:r>
            <w:r w:rsidR="000F7E7B">
              <w:rPr>
                <w:rFonts w:eastAsiaTheme="minorEastAsia"/>
                <w:noProof/>
              </w:rPr>
              <w:tab/>
            </w:r>
            <w:r w:rsidR="000F7E7B" w:rsidRPr="00C47906">
              <w:rPr>
                <w:rStyle w:val="Hyperlink"/>
                <w:rFonts w:eastAsia="Times New Roman"/>
                <w:noProof/>
              </w:rPr>
              <w:t>Provisions Applicable to the Contract</w:t>
            </w:r>
            <w:r w:rsidR="000F7E7B">
              <w:rPr>
                <w:noProof/>
                <w:webHidden/>
              </w:rPr>
              <w:tab/>
            </w:r>
            <w:r w:rsidR="000F7E7B">
              <w:rPr>
                <w:noProof/>
                <w:webHidden/>
              </w:rPr>
              <w:fldChar w:fldCharType="begin"/>
            </w:r>
            <w:r w:rsidR="000F7E7B">
              <w:rPr>
                <w:noProof/>
                <w:webHidden/>
              </w:rPr>
              <w:instrText xml:space="preserve"> PAGEREF _Toc69302410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12" w:history="1">
            <w:r w:rsidR="00B244CD">
              <w:rPr>
                <w:rStyle w:val="Hyperlink"/>
                <w:noProof/>
              </w:rPr>
              <w:t>A</w:t>
            </w:r>
            <w:r w:rsidR="000F7E7B" w:rsidRPr="00C47906">
              <w:rPr>
                <w:rStyle w:val="Hyperlink"/>
                <w:noProof/>
              </w:rPr>
              <w:t>.</w:t>
            </w:r>
            <w:r w:rsidR="000F7E7B">
              <w:rPr>
                <w:rFonts w:eastAsiaTheme="minorEastAsia"/>
                <w:noProof/>
              </w:rPr>
              <w:tab/>
            </w:r>
            <w:r w:rsidR="000F7E7B" w:rsidRPr="00C47906">
              <w:rPr>
                <w:rStyle w:val="Hyperlink"/>
                <w:noProof/>
              </w:rPr>
              <w:t>Requirements Specification</w:t>
            </w:r>
            <w:r w:rsidR="000F7E7B">
              <w:rPr>
                <w:noProof/>
                <w:webHidden/>
              </w:rPr>
              <w:tab/>
            </w:r>
            <w:r w:rsidR="000F7E7B">
              <w:rPr>
                <w:noProof/>
                <w:webHidden/>
              </w:rPr>
              <w:fldChar w:fldCharType="begin"/>
            </w:r>
            <w:r w:rsidR="000F7E7B">
              <w:rPr>
                <w:noProof/>
                <w:webHidden/>
              </w:rPr>
              <w:instrText xml:space="preserve"> PAGEREF _Toc69302412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13" w:history="1">
            <w:r w:rsidR="00B244CD">
              <w:rPr>
                <w:rStyle w:val="Hyperlink"/>
                <w:rFonts w:eastAsia="Times New Roman"/>
                <w:noProof/>
              </w:rPr>
              <w:t>B</w:t>
            </w:r>
            <w:r w:rsidR="000F7E7B" w:rsidRPr="00C47906">
              <w:rPr>
                <w:rStyle w:val="Hyperlink"/>
                <w:rFonts w:eastAsia="Times New Roman"/>
                <w:noProof/>
              </w:rPr>
              <w:t>.</w:t>
            </w:r>
            <w:r w:rsidR="000F7E7B">
              <w:rPr>
                <w:rFonts w:eastAsiaTheme="minorEastAsia"/>
                <w:noProof/>
              </w:rPr>
              <w:tab/>
            </w:r>
            <w:r w:rsidR="000F7E7B" w:rsidRPr="00C47906">
              <w:rPr>
                <w:rStyle w:val="Hyperlink"/>
                <w:rFonts w:eastAsia="Times New Roman"/>
                <w:noProof/>
              </w:rPr>
              <w:t>Tax Exempt Status</w:t>
            </w:r>
            <w:r w:rsidR="000F7E7B">
              <w:rPr>
                <w:noProof/>
                <w:webHidden/>
              </w:rPr>
              <w:tab/>
            </w:r>
            <w:r w:rsidR="000F7E7B">
              <w:rPr>
                <w:noProof/>
                <w:webHidden/>
              </w:rPr>
              <w:fldChar w:fldCharType="begin"/>
            </w:r>
            <w:r w:rsidR="000F7E7B">
              <w:rPr>
                <w:noProof/>
                <w:webHidden/>
              </w:rPr>
              <w:instrText xml:space="preserve"> PAGEREF _Toc69302413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E654A8">
          <w:pPr>
            <w:pStyle w:val="TOC2"/>
            <w:tabs>
              <w:tab w:val="left" w:pos="660"/>
              <w:tab w:val="right" w:leader="dot" w:pos="9350"/>
            </w:tabs>
            <w:rPr>
              <w:rFonts w:eastAsiaTheme="minorEastAsia"/>
              <w:noProof/>
            </w:rPr>
          </w:pPr>
          <w:hyperlink w:anchor="_Toc69302414" w:history="1">
            <w:r w:rsidR="00B244CD">
              <w:rPr>
                <w:rStyle w:val="Hyperlink"/>
                <w:rFonts w:eastAsia="Times New Roman"/>
                <w:noProof/>
              </w:rPr>
              <w:t>C</w:t>
            </w:r>
            <w:r w:rsidR="000F7E7B" w:rsidRPr="00C47906">
              <w:rPr>
                <w:rStyle w:val="Hyperlink"/>
                <w:rFonts w:eastAsia="Times New Roman"/>
                <w:noProof/>
              </w:rPr>
              <w:t>.</w:t>
            </w:r>
            <w:r w:rsidR="000F7E7B">
              <w:rPr>
                <w:rFonts w:eastAsiaTheme="minorEastAsia"/>
                <w:noProof/>
              </w:rPr>
              <w:tab/>
            </w:r>
            <w:r w:rsidR="000F7E7B" w:rsidRPr="00C47906">
              <w:rPr>
                <w:rStyle w:val="Hyperlink"/>
                <w:rFonts w:eastAsia="Times New Roman"/>
                <w:noProof/>
              </w:rPr>
              <w:t>Payment Terms</w:t>
            </w:r>
            <w:r w:rsidR="000F7E7B">
              <w:rPr>
                <w:noProof/>
                <w:webHidden/>
              </w:rPr>
              <w:tab/>
            </w:r>
            <w:r w:rsidR="000F7E7B">
              <w:rPr>
                <w:noProof/>
                <w:webHidden/>
              </w:rPr>
              <w:fldChar w:fldCharType="begin"/>
            </w:r>
            <w:r w:rsidR="000F7E7B">
              <w:rPr>
                <w:noProof/>
                <w:webHidden/>
              </w:rPr>
              <w:instrText xml:space="preserve"> PAGEREF _Toc69302414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E654A8">
          <w:pPr>
            <w:pStyle w:val="TOC1"/>
            <w:tabs>
              <w:tab w:val="left" w:pos="440"/>
              <w:tab w:val="right" w:leader="dot" w:pos="9350"/>
            </w:tabs>
            <w:rPr>
              <w:rFonts w:eastAsiaTheme="minorEastAsia"/>
              <w:noProof/>
            </w:rPr>
          </w:pPr>
          <w:hyperlink w:anchor="_Toc69302415" w:history="1">
            <w:r w:rsidR="000F7E7B" w:rsidRPr="00C47906">
              <w:rPr>
                <w:rStyle w:val="Hyperlink"/>
                <w:rFonts w:eastAsia="Times New Roman"/>
                <w:noProof/>
              </w:rPr>
              <w:t>V.</w:t>
            </w:r>
            <w:r w:rsidR="000F7E7B">
              <w:rPr>
                <w:rFonts w:eastAsiaTheme="minorEastAsia"/>
                <w:noProof/>
              </w:rPr>
              <w:tab/>
            </w:r>
            <w:r w:rsidR="000F7E7B" w:rsidRPr="00C47906">
              <w:rPr>
                <w:rStyle w:val="Hyperlink"/>
                <w:rFonts w:eastAsia="Times New Roman"/>
                <w:noProof/>
              </w:rPr>
              <w:t>Vendor Requirements</w:t>
            </w:r>
            <w:r w:rsidR="000F7E7B">
              <w:rPr>
                <w:noProof/>
                <w:webHidden/>
              </w:rPr>
              <w:tab/>
            </w:r>
            <w:r w:rsidR="000F7E7B">
              <w:rPr>
                <w:noProof/>
                <w:webHidden/>
              </w:rPr>
              <w:fldChar w:fldCharType="begin"/>
            </w:r>
            <w:r w:rsidR="000F7E7B">
              <w:rPr>
                <w:noProof/>
                <w:webHidden/>
              </w:rPr>
              <w:instrText xml:space="preserve"> PAGEREF _Toc69302415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Pr="0004451E" w:rsidRDefault="00E654A8" w:rsidP="0004451E">
          <w:pPr>
            <w:pStyle w:val="TOC2"/>
            <w:tabs>
              <w:tab w:val="left" w:pos="660"/>
              <w:tab w:val="right" w:leader="dot" w:pos="9350"/>
            </w:tabs>
            <w:rPr>
              <w:noProof/>
            </w:rPr>
          </w:pPr>
          <w:hyperlink w:anchor="_Toc69302416" w:history="1">
            <w:r w:rsidR="000F7E7B" w:rsidRPr="00C47906">
              <w:rPr>
                <w:rStyle w:val="Hyperlink"/>
                <w:rFonts w:eastAsia="Times New Roman"/>
                <w:noProof/>
              </w:rPr>
              <w:t>A.</w:t>
            </w:r>
            <w:r w:rsidR="000F7E7B">
              <w:rPr>
                <w:rFonts w:eastAsiaTheme="minorEastAsia"/>
                <w:noProof/>
              </w:rPr>
              <w:tab/>
            </w:r>
            <w:r w:rsidR="000F7E7B" w:rsidRPr="00C47906">
              <w:rPr>
                <w:rStyle w:val="Hyperlink"/>
                <w:rFonts w:eastAsia="Times New Roman"/>
                <w:noProof/>
              </w:rPr>
              <w:t>Proposal</w:t>
            </w:r>
            <w:r w:rsidR="000F7E7B">
              <w:rPr>
                <w:noProof/>
                <w:webHidden/>
              </w:rPr>
              <w:tab/>
            </w:r>
            <w:r w:rsidR="000F7E7B">
              <w:rPr>
                <w:noProof/>
                <w:webHidden/>
              </w:rPr>
              <w:fldChar w:fldCharType="begin"/>
            </w:r>
            <w:r w:rsidR="000F7E7B">
              <w:rPr>
                <w:noProof/>
                <w:webHidden/>
              </w:rPr>
              <w:instrText xml:space="preserve"> PAGEREF _Toc69302416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Default="00E654A8" w:rsidP="0004451E">
          <w:pPr>
            <w:pStyle w:val="TOC2"/>
            <w:tabs>
              <w:tab w:val="left" w:pos="660"/>
              <w:tab w:val="right" w:leader="dot" w:pos="9350"/>
            </w:tabs>
            <w:rPr>
              <w:noProof/>
            </w:rPr>
          </w:pPr>
          <w:hyperlink w:anchor="_Toc69302417" w:history="1">
            <w:r w:rsidR="0004451E" w:rsidRPr="00C47906">
              <w:rPr>
                <w:rStyle w:val="Hyperlink"/>
                <w:rFonts w:eastAsia="Times New Roman"/>
                <w:noProof/>
              </w:rPr>
              <w:t>B.</w:t>
            </w:r>
            <w:r w:rsidR="0004451E">
              <w:rPr>
                <w:rFonts w:eastAsiaTheme="minorEastAsia"/>
                <w:noProof/>
              </w:rPr>
              <w:tab/>
            </w:r>
            <w:r w:rsidR="0004451E">
              <w:rPr>
                <w:rStyle w:val="Hyperlink"/>
                <w:rFonts w:eastAsia="Times New Roman"/>
                <w:noProof/>
              </w:rPr>
              <w:t>Tribal Employment Rights Office (“TERO”) Ordinance</w:t>
            </w:r>
            <w:r w:rsidR="0004451E">
              <w:rPr>
                <w:noProof/>
                <w:webHidden/>
              </w:rPr>
              <w:tab/>
            </w:r>
            <w:r w:rsidR="00ED417D">
              <w:rPr>
                <w:noProof/>
                <w:webHidden/>
              </w:rPr>
              <w:t>6</w:t>
            </w:r>
          </w:hyperlink>
        </w:p>
        <w:p w:rsidR="0004451E" w:rsidRDefault="00E654A8" w:rsidP="0004451E">
          <w:pPr>
            <w:pStyle w:val="TOC2"/>
            <w:tabs>
              <w:tab w:val="left" w:pos="660"/>
              <w:tab w:val="right" w:leader="dot" w:pos="9350"/>
            </w:tabs>
            <w:rPr>
              <w:noProof/>
            </w:rPr>
          </w:pPr>
          <w:hyperlink w:anchor="_Toc17988951" w:history="1">
            <w:r w:rsidR="0004451E" w:rsidRPr="00967BB6">
              <w:rPr>
                <w:rStyle w:val="Hyperlink"/>
                <w:rFonts w:eastAsia="Times New Roman"/>
                <w:noProof/>
              </w:rPr>
              <w:t>C.</w:t>
            </w:r>
            <w:r w:rsidR="0004451E">
              <w:rPr>
                <w:rFonts w:eastAsiaTheme="minorEastAsia"/>
                <w:noProof/>
              </w:rPr>
              <w:tab/>
            </w:r>
            <w:r w:rsidR="0004451E" w:rsidRPr="00967BB6">
              <w:rPr>
                <w:rStyle w:val="Hyperlink"/>
                <w:rFonts w:eastAsia="Times New Roman"/>
                <w:noProof/>
              </w:rPr>
              <w:t>Standard Service Agreement</w:t>
            </w:r>
            <w:r w:rsidR="0004451E">
              <w:rPr>
                <w:noProof/>
                <w:webHidden/>
              </w:rPr>
              <w:tab/>
              <w:t>7</w:t>
            </w:r>
          </w:hyperlink>
        </w:p>
        <w:p w:rsidR="008E17EA" w:rsidRPr="008E17EA" w:rsidRDefault="00E654A8" w:rsidP="008E17EA">
          <w:pPr>
            <w:pStyle w:val="TOC2"/>
            <w:tabs>
              <w:tab w:val="left" w:pos="660"/>
              <w:tab w:val="right" w:leader="dot" w:pos="9350"/>
            </w:tabs>
            <w:rPr>
              <w:noProof/>
            </w:rPr>
          </w:pPr>
          <w:hyperlink w:anchor="_Toc17988951" w:history="1">
            <w:r w:rsidR="008E17EA">
              <w:rPr>
                <w:rStyle w:val="Hyperlink"/>
                <w:rFonts w:eastAsia="Times New Roman"/>
                <w:noProof/>
              </w:rPr>
              <w:t>D</w:t>
            </w:r>
            <w:r w:rsidR="008E17EA" w:rsidRPr="00967BB6">
              <w:rPr>
                <w:rStyle w:val="Hyperlink"/>
                <w:rFonts w:eastAsia="Times New Roman"/>
                <w:noProof/>
              </w:rPr>
              <w:t>.</w:t>
            </w:r>
            <w:r w:rsidR="008E17EA">
              <w:rPr>
                <w:rFonts w:eastAsiaTheme="minorEastAsia"/>
                <w:noProof/>
              </w:rPr>
              <w:tab/>
            </w:r>
            <w:r w:rsidR="008E17EA">
              <w:rPr>
                <w:rStyle w:val="Hyperlink"/>
                <w:rFonts w:eastAsia="Times New Roman"/>
                <w:noProof/>
              </w:rPr>
              <w:t>Seneca Nation Business Registration Fee (SNIBRF)</w:t>
            </w:r>
            <w:r w:rsidR="008E17EA">
              <w:rPr>
                <w:noProof/>
                <w:webHidden/>
              </w:rPr>
              <w:tab/>
              <w:t>7</w:t>
            </w:r>
          </w:hyperlink>
        </w:p>
        <w:p w:rsidR="000F7E7B" w:rsidRDefault="00E654A8">
          <w:pPr>
            <w:pStyle w:val="TOC1"/>
            <w:tabs>
              <w:tab w:val="left" w:pos="660"/>
              <w:tab w:val="right" w:leader="dot" w:pos="9350"/>
            </w:tabs>
            <w:rPr>
              <w:rFonts w:eastAsiaTheme="minorEastAsia"/>
              <w:noProof/>
            </w:rPr>
          </w:pPr>
          <w:hyperlink w:anchor="_Toc69302418" w:history="1">
            <w:r w:rsidR="000F7E7B" w:rsidRPr="00C47906">
              <w:rPr>
                <w:rStyle w:val="Hyperlink"/>
                <w:rFonts w:eastAsia="Times New Roman"/>
                <w:noProof/>
              </w:rPr>
              <w:t>VI.</w:t>
            </w:r>
            <w:r w:rsidR="000F7E7B">
              <w:rPr>
                <w:rFonts w:eastAsiaTheme="minorEastAsia"/>
                <w:noProof/>
              </w:rPr>
              <w:tab/>
            </w:r>
            <w:r w:rsidR="000F7E7B" w:rsidRPr="00C47906">
              <w:rPr>
                <w:rStyle w:val="Hyperlink"/>
                <w:rFonts w:eastAsia="Times New Roman"/>
                <w:noProof/>
              </w:rPr>
              <w:t>Bidder Certifications and Representations</w:t>
            </w:r>
            <w:r w:rsidR="000F7E7B">
              <w:rPr>
                <w:noProof/>
                <w:webHidden/>
              </w:rPr>
              <w:tab/>
            </w:r>
            <w:r w:rsidR="000F7E7B">
              <w:rPr>
                <w:noProof/>
                <w:webHidden/>
              </w:rPr>
              <w:fldChar w:fldCharType="begin"/>
            </w:r>
            <w:r w:rsidR="000F7E7B">
              <w:rPr>
                <w:noProof/>
                <w:webHidden/>
              </w:rPr>
              <w:instrText xml:space="preserve"> PAGEREF _Toc69302418 \h </w:instrText>
            </w:r>
            <w:r w:rsidR="000F7E7B">
              <w:rPr>
                <w:noProof/>
                <w:webHidden/>
              </w:rPr>
            </w:r>
            <w:r w:rsidR="000F7E7B">
              <w:rPr>
                <w:noProof/>
                <w:webHidden/>
              </w:rPr>
              <w:fldChar w:fldCharType="separate"/>
            </w:r>
            <w:r w:rsidR="000F7E7B">
              <w:rPr>
                <w:noProof/>
                <w:webHidden/>
              </w:rPr>
              <w:t>8</w:t>
            </w:r>
            <w:r w:rsidR="000F7E7B">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69302399"/>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69302400"/>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w:t>
      </w:r>
      <w:r w:rsidR="00491218">
        <w:rPr>
          <w:rFonts w:eastAsia="Times New Roman" w:cstheme="minorHAnsi"/>
        </w:rPr>
        <w:t>s</w:t>
      </w:r>
      <w:r w:rsidR="00F5105A">
        <w:rPr>
          <w:rFonts w:eastAsia="Times New Roman" w:cstheme="minorHAnsi"/>
        </w:rPr>
        <w:t>eeking qualified firms</w:t>
      </w:r>
      <w:r w:rsidR="00F5105A">
        <w:t xml:space="preserve"> to provide Pavement Dressing Conditioner (PDC) asphalt rejuvenator/sealer at SNC &amp; SBCC</w:t>
      </w:r>
      <w:r w:rsidR="00491218" w:rsidRPr="00491218">
        <w:rPr>
          <w:rFonts w:eastAsia="Times New Roman" w:cstheme="minorHAnsi"/>
        </w:rPr>
        <w:t>.</w:t>
      </w:r>
    </w:p>
    <w:p w:rsidR="00E96538" w:rsidRDefault="00E96538" w:rsidP="00E96538">
      <w:pPr>
        <w:pStyle w:val="Heading1"/>
      </w:pPr>
      <w:bookmarkStart w:id="3" w:name="_Toc69302401"/>
      <w:r>
        <w:t>RFP Administrative Information</w:t>
      </w:r>
      <w:bookmarkEnd w:id="3"/>
    </w:p>
    <w:p w:rsidR="00491218" w:rsidRPr="00491218" w:rsidRDefault="00E96538" w:rsidP="00491218">
      <w:pPr>
        <w:pStyle w:val="Heading2"/>
      </w:pPr>
      <w:bookmarkStart w:id="4" w:name="_Toc69302402"/>
      <w:r>
        <w:t>Contact Information</w:t>
      </w:r>
      <w:bookmarkEnd w:id="4"/>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00660A2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9121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491218" w:rsidRPr="0049121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491218" w:rsidRPr="00491218">
        <w:rPr>
          <w:sz w:val="24"/>
          <w:szCs w:val="24"/>
        </w:rPr>
        <w:t>HWatson@senecacasinos.com</w:t>
      </w:r>
    </w:p>
    <w:p w:rsidR="00E96538" w:rsidRDefault="00E96538" w:rsidP="00E96538">
      <w:pPr>
        <w:pStyle w:val="Heading2"/>
      </w:pPr>
      <w:bookmarkStart w:id="5" w:name="_Toc69302403"/>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sidR="009815F3">
        <w:rPr>
          <w:sz w:val="24"/>
          <w:szCs w:val="24"/>
        </w:rPr>
        <w:tab/>
        <w:t>April</w:t>
      </w:r>
      <w:r w:rsidR="00E13CFA">
        <w:rPr>
          <w:sz w:val="24"/>
          <w:szCs w:val="24"/>
        </w:rPr>
        <w:t xml:space="preserve"> </w:t>
      </w:r>
      <w:r w:rsidR="00F9773C">
        <w:rPr>
          <w:sz w:val="24"/>
          <w:szCs w:val="24"/>
        </w:rPr>
        <w:t>29</w:t>
      </w:r>
      <w:r w:rsidR="009815F3">
        <w:rPr>
          <w:sz w:val="24"/>
          <w:szCs w:val="24"/>
        </w:rPr>
        <w:t>, 2022</w:t>
      </w:r>
    </w:p>
    <w:p w:rsidR="00237B18" w:rsidRDefault="00237B18" w:rsidP="00237B18">
      <w:pPr>
        <w:spacing w:before="120" w:after="120"/>
        <w:ind w:left="1440" w:firstLine="720"/>
        <w:rPr>
          <w:sz w:val="24"/>
          <w:szCs w:val="24"/>
        </w:rPr>
      </w:pPr>
      <w:r>
        <w:rPr>
          <w:sz w:val="24"/>
          <w:szCs w:val="24"/>
        </w:rPr>
        <w:t>Walkthrough</w:t>
      </w:r>
      <w:r w:rsidR="007B1E1F">
        <w:rPr>
          <w:sz w:val="24"/>
          <w:szCs w:val="24"/>
        </w:rPr>
        <w:t>:</w:t>
      </w:r>
      <w:r w:rsidR="007B1E1F">
        <w:rPr>
          <w:sz w:val="24"/>
          <w:szCs w:val="24"/>
        </w:rPr>
        <w:tab/>
      </w:r>
      <w:r w:rsidR="007B1E1F">
        <w:rPr>
          <w:sz w:val="24"/>
          <w:szCs w:val="24"/>
        </w:rPr>
        <w:tab/>
      </w:r>
      <w:r w:rsidR="007B1E1F">
        <w:rPr>
          <w:sz w:val="24"/>
          <w:szCs w:val="24"/>
        </w:rPr>
        <w:tab/>
      </w:r>
      <w:r w:rsidR="007B1E1F">
        <w:rPr>
          <w:sz w:val="24"/>
          <w:szCs w:val="24"/>
        </w:rPr>
        <w:tab/>
      </w:r>
      <w:r w:rsidR="00F9773C">
        <w:rPr>
          <w:sz w:val="24"/>
          <w:szCs w:val="24"/>
        </w:rPr>
        <w:t>May 3</w:t>
      </w:r>
      <w:r w:rsidR="009815F3">
        <w:rPr>
          <w:sz w:val="24"/>
          <w:szCs w:val="24"/>
        </w:rPr>
        <w:t>, 2022</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F9773C">
        <w:rPr>
          <w:sz w:val="24"/>
          <w:szCs w:val="24"/>
        </w:rPr>
        <w:t>May 5</w:t>
      </w:r>
      <w:r w:rsidR="0042040E">
        <w:rPr>
          <w:sz w:val="24"/>
          <w:szCs w:val="24"/>
        </w:rPr>
        <w:t xml:space="preserve">, </w:t>
      </w:r>
      <w:r w:rsidR="009815F3">
        <w:rPr>
          <w:sz w:val="24"/>
          <w:szCs w:val="24"/>
        </w:rPr>
        <w:t>2022</w:t>
      </w:r>
    </w:p>
    <w:p w:rsidR="00E96538" w:rsidRPr="00AB31A0" w:rsidRDefault="00E96538" w:rsidP="00C3003E">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F9773C">
        <w:rPr>
          <w:b/>
          <w:sz w:val="24"/>
          <w:szCs w:val="24"/>
        </w:rPr>
        <w:t>May</w:t>
      </w:r>
      <w:r w:rsidR="00E07E65">
        <w:rPr>
          <w:b/>
          <w:sz w:val="24"/>
          <w:szCs w:val="24"/>
        </w:rPr>
        <w:t xml:space="preserve"> 16</w:t>
      </w:r>
      <w:r w:rsidR="009815F3">
        <w:rPr>
          <w:b/>
          <w:sz w:val="24"/>
          <w:szCs w:val="24"/>
        </w:rPr>
        <w:t>, 2022</w:t>
      </w:r>
      <w:r w:rsidRPr="00AB31A0">
        <w:rPr>
          <w:b/>
          <w:sz w:val="24"/>
          <w:szCs w:val="24"/>
        </w:rPr>
        <w:t xml:space="preserve"> by 5:00 PM Eastern Time</w:t>
      </w:r>
    </w:p>
    <w:p w:rsidR="00E96538" w:rsidRPr="00CC3D40" w:rsidRDefault="00E96538" w:rsidP="00E96538">
      <w:pPr>
        <w:pStyle w:val="Heading2"/>
        <w:rPr>
          <w:rFonts w:eastAsia="Times New Roman"/>
        </w:rPr>
      </w:pPr>
      <w:bookmarkStart w:id="6" w:name="_Toc69302404"/>
      <w:r>
        <w:rPr>
          <w:rFonts w:eastAsia="Times New Roman"/>
        </w:rPr>
        <w:t xml:space="preserve">Bidder </w:t>
      </w:r>
      <w:r w:rsidRPr="00CC3D40">
        <w:rPr>
          <w:rFonts w:eastAsia="Times New Roman"/>
        </w:rPr>
        <w:t>Questions</w:t>
      </w:r>
      <w:r w:rsidR="008155C1">
        <w:rPr>
          <w:rFonts w:eastAsia="Times New Roman"/>
        </w:rPr>
        <w:t xml:space="preserve"> &amp; Request for Walkthrough</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8155C1" w:rsidRDefault="008155C1" w:rsidP="00E96538">
      <w:pPr>
        <w:pStyle w:val="ListParagraph"/>
        <w:spacing w:after="120" w:line="240" w:lineRule="auto"/>
        <w:ind w:left="1440"/>
        <w:jc w:val="both"/>
        <w:rPr>
          <w:rFonts w:eastAsia="Times New Roman" w:cstheme="minorHAnsi"/>
        </w:rPr>
      </w:pPr>
    </w:p>
    <w:p w:rsidR="008155C1" w:rsidRPr="00371E1A" w:rsidRDefault="008155C1" w:rsidP="00E96538">
      <w:pPr>
        <w:pStyle w:val="ListParagraph"/>
        <w:spacing w:after="120" w:line="240" w:lineRule="auto"/>
        <w:ind w:left="1440"/>
        <w:jc w:val="both"/>
        <w:rPr>
          <w:rFonts w:eastAsia="Times New Roman" w:cstheme="minorHAnsi"/>
        </w:rPr>
      </w:pPr>
      <w:r>
        <w:rPr>
          <w:rFonts w:eastAsia="Times New Roman" w:cstheme="minorHAnsi"/>
        </w:rPr>
        <w:t>Walkthroughs are not mandatory, however, bidders may request to have one.  If requested, the walkthrough(s) will be schedule</w:t>
      </w:r>
      <w:r w:rsidR="000F7E7B">
        <w:rPr>
          <w:rFonts w:eastAsia="Times New Roman" w:cstheme="minorHAnsi"/>
        </w:rPr>
        <w:t>d</w:t>
      </w:r>
      <w:r>
        <w:rPr>
          <w:rFonts w:eastAsia="Times New Roman" w:cstheme="minorHAnsi"/>
        </w:rPr>
        <w:t xml:space="preserve"> </w:t>
      </w:r>
      <w:r w:rsidR="006A36A9">
        <w:rPr>
          <w:rFonts w:eastAsia="Times New Roman" w:cstheme="minorHAnsi"/>
        </w:rPr>
        <w:t xml:space="preserve">for </w:t>
      </w:r>
      <w:r w:rsidR="003023C7">
        <w:rPr>
          <w:rFonts w:eastAsia="Times New Roman" w:cstheme="minorHAnsi"/>
        </w:rPr>
        <w:t>the week of May 2</w:t>
      </w:r>
      <w:r>
        <w:rPr>
          <w:rFonts w:eastAsia="Times New Roman" w:cstheme="minorHAnsi"/>
        </w:rPr>
        <w:t>.  The walkthrough(s) will not be a Q&amp;A session; any &amp; all questions will be required in writing and will be shared with all bidders.  An updated Schedule of Events will be provided after all walkthrough(s) are confirmed.</w:t>
      </w:r>
    </w:p>
    <w:p w:rsidR="00456E00" w:rsidRPr="00CC3D40" w:rsidRDefault="00456E00" w:rsidP="00456E00">
      <w:pPr>
        <w:pStyle w:val="Heading2"/>
        <w:rPr>
          <w:rFonts w:eastAsia="Times New Roman"/>
        </w:rPr>
      </w:pPr>
      <w:bookmarkStart w:id="7" w:name="_Toc17728971"/>
      <w:bookmarkStart w:id="8" w:name="_Toc69302405"/>
      <w:r w:rsidRPr="00CC3D40">
        <w:rPr>
          <w:rFonts w:eastAsia="Times New Roman"/>
        </w:rPr>
        <w:lastRenderedPageBreak/>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ED0F6D">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69302406"/>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lastRenderedPageBreak/>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69302407"/>
      <w:r w:rsidRPr="00325DC1">
        <w:rPr>
          <w:rFonts w:eastAsia="Times New Roman"/>
        </w:rPr>
        <w:lastRenderedPageBreak/>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69302408"/>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3" w:name="_Toc69302409"/>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lastRenderedPageBreak/>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69302410"/>
      <w:r w:rsidRPr="00D059D0">
        <w:rPr>
          <w:rFonts w:eastAsia="Times New Roman"/>
        </w:rPr>
        <w:t>Provisions Applicable to the Contract</w:t>
      </w:r>
      <w:bookmarkEnd w:id="14"/>
    </w:p>
    <w:p w:rsidR="00E96538" w:rsidRDefault="00E96538" w:rsidP="00E96538">
      <w:pPr>
        <w:pStyle w:val="Heading2"/>
      </w:pPr>
      <w:bookmarkStart w:id="15" w:name="_Toc69302412"/>
      <w:r>
        <w:t>Requirements</w:t>
      </w:r>
      <w:r w:rsidR="004D32F5">
        <w:t xml:space="preserve"> Specification</w:t>
      </w:r>
      <w:bookmarkEnd w:id="15"/>
    </w:p>
    <w:p w:rsidR="00B244CD" w:rsidRDefault="00B244CD" w:rsidP="00B244CD">
      <w:pPr>
        <w:pStyle w:val="Heading3"/>
        <w:numPr>
          <w:ilvl w:val="0"/>
          <w:numId w:val="0"/>
        </w:numPr>
        <w:ind w:left="1440"/>
      </w:pPr>
      <w:bookmarkStart w:id="16" w:name="_Toc80017468"/>
      <w:bookmarkStart w:id="17" w:name="_Toc93254240"/>
      <w:r>
        <w:t>General Requirements:</w:t>
      </w:r>
      <w:bookmarkEnd w:id="16"/>
      <w:bookmarkEnd w:id="17"/>
    </w:p>
    <w:p w:rsidR="00B244CD" w:rsidRPr="00695797" w:rsidRDefault="00B244CD" w:rsidP="00B244CD">
      <w:pPr>
        <w:spacing w:before="120" w:after="120" w:line="240" w:lineRule="auto"/>
        <w:ind w:left="1440"/>
        <w:rPr>
          <w:rFonts w:eastAsia="Times New Roman" w:cstheme="minorHAnsi"/>
        </w:rPr>
      </w:pPr>
      <w:bookmarkStart w:id="18" w:name="_Toc80017469"/>
      <w:r>
        <w:t>SGC is s</w:t>
      </w:r>
      <w:r w:rsidRPr="00B9282B">
        <w:rPr>
          <w:rFonts w:cstheme="minorHAnsi"/>
        </w:rPr>
        <w:t>eeking</w:t>
      </w:r>
      <w:bookmarkEnd w:id="18"/>
      <w:r>
        <w:rPr>
          <w:rFonts w:cstheme="minorHAnsi"/>
        </w:rPr>
        <w:t xml:space="preserve"> </w:t>
      </w:r>
      <w:r w:rsidRPr="00892E6A">
        <w:rPr>
          <w:rFonts w:eastAsia="Times New Roman" w:cstheme="minorHAnsi"/>
        </w:rPr>
        <w:t xml:space="preserve">a qualified </w:t>
      </w:r>
      <w:r>
        <w:rPr>
          <w:rFonts w:eastAsia="Times New Roman" w:cstheme="minorHAnsi"/>
        </w:rPr>
        <w:t xml:space="preserve">company to </w:t>
      </w:r>
      <w:r>
        <w:t xml:space="preserve">provide chemical asphalt rehabilitation services </w:t>
      </w:r>
      <w:r w:rsidR="00742EB0">
        <w:t xml:space="preserve">of selected parking lots and roadways </w:t>
      </w:r>
      <w:r>
        <w:t>at S</w:t>
      </w:r>
      <w:r w:rsidR="00E654A8">
        <w:t>eneca Niagara Resort &amp; Casino (S</w:t>
      </w:r>
      <w:r>
        <w:t>NRC</w:t>
      </w:r>
      <w:r w:rsidR="00E654A8">
        <w:t>)</w:t>
      </w:r>
      <w:r w:rsidR="00D808BA">
        <w:t xml:space="preserve"> and S</w:t>
      </w:r>
      <w:r w:rsidR="00E654A8">
        <w:t>eneca Buffalo Creek Casino (S</w:t>
      </w:r>
      <w:r w:rsidR="00D808BA">
        <w:t>BCC</w:t>
      </w:r>
      <w:r w:rsidR="00E654A8">
        <w:t>)</w:t>
      </w:r>
      <w:r>
        <w:rPr>
          <w:rFonts w:eastAsia="Times New Roman" w:cstheme="minorHAnsi"/>
        </w:rPr>
        <w:t>.</w:t>
      </w:r>
    </w:p>
    <w:p w:rsidR="00B244CD" w:rsidRDefault="00B244CD" w:rsidP="00B244CD">
      <w:pPr>
        <w:pStyle w:val="Heading3"/>
        <w:numPr>
          <w:ilvl w:val="0"/>
          <w:numId w:val="0"/>
        </w:numPr>
        <w:ind w:left="1440"/>
      </w:pPr>
      <w:bookmarkStart w:id="19" w:name="_Toc80017471"/>
      <w:bookmarkStart w:id="20" w:name="_Toc93254241"/>
      <w:r>
        <w:t>Scope of Work (SOW):</w:t>
      </w:r>
      <w:bookmarkEnd w:id="19"/>
      <w:bookmarkEnd w:id="20"/>
    </w:p>
    <w:p w:rsidR="00067D91" w:rsidRDefault="00067D91" w:rsidP="00067D91">
      <w:pPr>
        <w:ind w:left="1440"/>
      </w:pPr>
      <w:r>
        <w:t>The enclosed details related to the goods and/or services in this RFP are based upon the operating department’s requirements.</w:t>
      </w:r>
    </w:p>
    <w:p w:rsidR="00067D91" w:rsidRDefault="00067D91" w:rsidP="00067D91">
      <w:pPr>
        <w:pStyle w:val="ListParagraph"/>
        <w:numPr>
          <w:ilvl w:val="0"/>
          <w:numId w:val="9"/>
        </w:numPr>
        <w:spacing w:line="252" w:lineRule="auto"/>
        <w:ind w:left="1800"/>
      </w:pPr>
      <w:r>
        <w:t xml:space="preserve">Contractor must have the ability to coordinate the asphalt rejuvenator/sealer at the locations indicated. </w:t>
      </w:r>
    </w:p>
    <w:p w:rsidR="00067D91" w:rsidRDefault="00067D91" w:rsidP="00067D91">
      <w:pPr>
        <w:pStyle w:val="ListParagraph"/>
        <w:numPr>
          <w:ilvl w:val="0"/>
          <w:numId w:val="9"/>
        </w:numPr>
        <w:spacing w:line="252" w:lineRule="auto"/>
        <w:ind w:left="1800"/>
      </w:pPr>
      <w:r>
        <w:t>Asphalt rejuvenator mus</w:t>
      </w:r>
      <w:r w:rsidR="00C93269">
        <w:t>t lower viscosity, increase penetration, lower softening point and increase</w:t>
      </w:r>
      <w:r>
        <w:t xml:space="preserve"> the ductility of the binder without disturbing the binder’s ability to retain aggregate and not signi</w:t>
      </w:r>
      <w:r w:rsidR="00C93269">
        <w:t>ficantly lower skid resistance.</w:t>
      </w:r>
    </w:p>
    <w:p w:rsidR="00067D91" w:rsidRDefault="00067D91" w:rsidP="00067D91">
      <w:pPr>
        <w:pStyle w:val="ListParagraph"/>
        <w:numPr>
          <w:ilvl w:val="0"/>
          <w:numId w:val="9"/>
        </w:numPr>
        <w:spacing w:line="252" w:lineRule="auto"/>
        <w:ind w:left="1800"/>
      </w:pPr>
      <w:r>
        <w:t xml:space="preserve">Short cure times are preferred in order to allow for quicker turnaround. </w:t>
      </w:r>
    </w:p>
    <w:p w:rsidR="00067D91" w:rsidRDefault="00067D91" w:rsidP="00067D91">
      <w:pPr>
        <w:pStyle w:val="ListParagraph"/>
        <w:numPr>
          <w:ilvl w:val="0"/>
          <w:numId w:val="9"/>
        </w:numPr>
        <w:spacing w:line="252" w:lineRule="auto"/>
        <w:ind w:left="1800"/>
      </w:pPr>
      <w:r>
        <w:t xml:space="preserve">All square footage provided is approximate. </w:t>
      </w:r>
      <w:r w:rsidR="00E94324">
        <w:t>SNRC</w:t>
      </w:r>
      <w:r w:rsidR="000A2DBA">
        <w:t xml:space="preserve"> a</w:t>
      </w:r>
      <w:r>
        <w:t xml:space="preserve">rea of approximately 1,020,296 square feet. </w:t>
      </w:r>
      <w:r w:rsidR="00E94324">
        <w:t xml:space="preserve">SBCC area of approximately </w:t>
      </w:r>
      <w:r w:rsidR="00E94324">
        <w:rPr>
          <w:color w:val="000000"/>
        </w:rPr>
        <w:t>157,945</w:t>
      </w:r>
      <w:r w:rsidR="00E94324">
        <w:rPr>
          <w:color w:val="000000"/>
        </w:rPr>
        <w:t xml:space="preserve"> square feet. </w:t>
      </w:r>
      <w:r>
        <w:t xml:space="preserve">Contractor is required to measure all locations for exact square footage.  </w:t>
      </w:r>
    </w:p>
    <w:p w:rsidR="00067D91" w:rsidRPr="00B244CD" w:rsidRDefault="00067D91" w:rsidP="00067D91">
      <w:pPr>
        <w:pStyle w:val="ListParagraph"/>
        <w:numPr>
          <w:ilvl w:val="0"/>
          <w:numId w:val="9"/>
        </w:numPr>
        <w:spacing w:line="252" w:lineRule="auto"/>
        <w:ind w:left="1800"/>
      </w:pPr>
      <w:r>
        <w:t xml:space="preserve">Include your available start date with your bid as well as expected timeline for completion. Preference will be given to earlier start dates. </w:t>
      </w:r>
    </w:p>
    <w:p w:rsidR="00E96538" w:rsidRPr="00961C9F" w:rsidRDefault="00E96538" w:rsidP="00E96538">
      <w:pPr>
        <w:pStyle w:val="Heading2"/>
        <w:rPr>
          <w:rFonts w:eastAsia="Times New Roman"/>
        </w:rPr>
      </w:pPr>
      <w:bookmarkStart w:id="21" w:name="_Toc6930241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6930241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23" w:name="_Toc69302415"/>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69302416"/>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6188A" w:rsidRPr="00E6188A" w:rsidRDefault="00E6188A" w:rsidP="00E6188A">
      <w:pPr>
        <w:pStyle w:val="Heading2"/>
      </w:pPr>
      <w:bookmarkStart w:id="25" w:name="_Toc17988950"/>
      <w:bookmarkStart w:id="26" w:name="_Toc69302417"/>
      <w:r w:rsidRPr="00E6188A">
        <w:rPr>
          <w:rStyle w:val="Heading2Char"/>
        </w:rPr>
        <w:lastRenderedPageBreak/>
        <w:t>Tribal Employment Rights Office (“TERO”) Ordinance</w:t>
      </w:r>
      <w:bookmarkEnd w:id="25"/>
      <w:r w:rsidRPr="00E6188A">
        <w:t xml:space="preserve"> </w:t>
      </w:r>
    </w:p>
    <w:p w:rsidR="00E6188A" w:rsidRPr="00E6188A" w:rsidRDefault="00E6188A" w:rsidP="00E6188A">
      <w:pPr>
        <w:ind w:left="1440"/>
        <w:jc w:val="both"/>
        <w:rPr>
          <w:rFonts w:cstheme="minorHAnsi"/>
        </w:rPr>
      </w:pPr>
      <w:r w:rsidRPr="00E6188A">
        <w:rPr>
          <w:rFonts w:cstheme="minorHAnsi"/>
        </w:rPr>
        <w:t>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The TERO fee, where applicable, should be shown as a separate line item in the pricing proposal.</w:t>
      </w:r>
    </w:p>
    <w:p w:rsidR="00E96538" w:rsidRPr="00961C9F" w:rsidRDefault="00E96538" w:rsidP="00E96538">
      <w:pPr>
        <w:pStyle w:val="Heading2"/>
        <w:rPr>
          <w:rFonts w:eastAsia="Times New Roman"/>
        </w:rPr>
      </w:pPr>
      <w:r w:rsidRPr="00961C9F">
        <w:rPr>
          <w:rFonts w:eastAsia="Times New Roman"/>
        </w:rPr>
        <w:t>Standard Service Agreement</w:t>
      </w:r>
      <w:bookmarkEnd w:id="26"/>
      <w:r w:rsidRPr="00961C9F">
        <w:rPr>
          <w:rFonts w:eastAsia="Times New Roman"/>
        </w:rPr>
        <w:t xml:space="preserve">  </w:t>
      </w:r>
    </w:p>
    <w:p w:rsidR="00E96538" w:rsidRDefault="00884297" w:rsidP="00E96538">
      <w:pPr>
        <w:autoSpaceDE w:val="0"/>
        <w:autoSpaceDN w:val="0"/>
        <w:adjustRightInd w:val="0"/>
        <w:spacing w:after="120" w:line="240" w:lineRule="auto"/>
        <w:ind w:left="1440"/>
        <w:jc w:val="both"/>
        <w:rPr>
          <w:rFonts w:eastAsia="Times New Roman" w:cstheme="minorHAnsi"/>
        </w:rPr>
      </w:pPr>
      <w:r w:rsidRPr="000F7E7B">
        <w:rPr>
          <w:rFonts w:eastAsia="Times New Roman" w:cstheme="minorHAnsi"/>
        </w:rPr>
        <w:t xml:space="preserve">Successful Bidder will be expected to sign SGC’s standard services agreement, subject to such changes as are necessary to reflect the terms of this RFP and Successful </w:t>
      </w:r>
      <w:r w:rsidR="00E96538" w:rsidRPr="000F7E7B">
        <w:rPr>
          <w:rFonts w:eastAsia="Times New Roman" w:cstheme="minorHAnsi"/>
        </w:rPr>
        <w:t>Bidder’s bid or proposal, and such further changes as the parties, acting reasonably, may agree.</w:t>
      </w:r>
    </w:p>
    <w:p w:rsidR="00884297" w:rsidRDefault="00884297" w:rsidP="00884297">
      <w:pPr>
        <w:pStyle w:val="Heading2"/>
        <w:rPr>
          <w:rFonts w:eastAsia="Times New Roman"/>
        </w:rPr>
      </w:pPr>
      <w:r>
        <w:rPr>
          <w:rFonts w:eastAsia="Times New Roman"/>
        </w:rPr>
        <w:t>Seneca Nation Business Registration Fee (SNIBRF)</w:t>
      </w:r>
    </w:p>
    <w:p w:rsidR="00884297" w:rsidRDefault="00884297" w:rsidP="00884297">
      <w:pPr>
        <w:pStyle w:val="Heading2"/>
        <w:numPr>
          <w:ilvl w:val="0"/>
          <w:numId w:val="0"/>
        </w:numPr>
        <w:ind w:left="1440"/>
        <w:rPr>
          <w:rFonts w:asciiTheme="minorHAnsi" w:eastAsia="Times New Roman" w:hAnsiTheme="minorHAnsi" w:cstheme="minorHAnsi"/>
          <w:color w:val="auto"/>
          <w:sz w:val="22"/>
          <w:szCs w:val="22"/>
        </w:rPr>
      </w:pPr>
      <w:r w:rsidRPr="00884297">
        <w:rPr>
          <w:rFonts w:asciiTheme="minorHAnsi" w:eastAsia="Times New Roman" w:hAnsiTheme="minorHAnsi" w:cstheme="minorHAnsi"/>
          <w:color w:val="auto"/>
          <w:sz w:val="22"/>
          <w:szCs w:val="22"/>
        </w:rPr>
        <w:t xml:space="preserve">Vendor must </w:t>
      </w:r>
      <w:r>
        <w:rPr>
          <w:rFonts w:asciiTheme="minorHAnsi" w:eastAsia="Times New Roman" w:hAnsiTheme="minorHAnsi" w:cstheme="minorHAnsi"/>
          <w:color w:val="auto"/>
          <w:sz w:val="22"/>
          <w:szCs w:val="22"/>
        </w:rPr>
        <w:t>pay the SNIBRF of $750 directly to the Seneca Gaming Authority once total payment to the vendor exceeds $10,000. Failure to pay the fee when required may result in termination of further business with Seneca Gaming Corporation.</w:t>
      </w:r>
    </w:p>
    <w:p w:rsidR="00884297" w:rsidRDefault="00884297" w:rsidP="008013D0">
      <w:pPr>
        <w:autoSpaceDE w:val="0"/>
        <w:autoSpaceDN w:val="0"/>
        <w:adjustRightInd w:val="0"/>
        <w:spacing w:after="120" w:line="240" w:lineRule="auto"/>
        <w:jc w:val="both"/>
        <w:rPr>
          <w:rFonts w:eastAsia="Times New Roman" w:cstheme="minorHAnsi"/>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FF476B" w:rsidRPr="008013D0" w:rsidRDefault="00FF476B" w:rsidP="008013D0"/>
    <w:p w:rsidR="00E96538" w:rsidRDefault="00E96538" w:rsidP="00E96538">
      <w:pPr>
        <w:pStyle w:val="Heading1"/>
        <w:rPr>
          <w:rFonts w:eastAsia="Times New Roman"/>
        </w:rPr>
      </w:pPr>
      <w:bookmarkStart w:id="27" w:name="_Toc69302418"/>
      <w:r>
        <w:rPr>
          <w:rFonts w:eastAsia="Times New Roman"/>
        </w:rPr>
        <w:lastRenderedPageBreak/>
        <w:t xml:space="preserve">Bidder </w:t>
      </w:r>
      <w:r w:rsidRPr="0034489C">
        <w:rPr>
          <w:rFonts w:eastAsia="Times New Roman"/>
        </w:rPr>
        <w:t>Cert</w:t>
      </w:r>
      <w:r>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15015C" w:rsidP="00E96538">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proofErr w:type="gramStart"/>
      <w:r>
        <w:rPr>
          <w:rFonts w:eastAsia="Times New Roman" w:cstheme="minorHAnsi"/>
          <w:sz w:val="24"/>
          <w:szCs w:val="24"/>
        </w:rPr>
        <w:t>Bidder:_</w:t>
      </w:r>
      <w:proofErr w:type="gramEnd"/>
      <w:r>
        <w:rPr>
          <w:rFonts w:eastAsia="Times New Roman" w:cstheme="minorHAnsi"/>
          <w:sz w:val="24"/>
          <w:szCs w:val="24"/>
        </w:rPr>
        <w:t>________________________________________</w:t>
      </w:r>
      <w:r w:rsidR="00E96538"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0015015C">
        <w:rPr>
          <w:rFonts w:eastAsia="Times New Roman" w:cstheme="minorHAnsi"/>
          <w:sz w:val="24"/>
          <w:szCs w:val="24"/>
        </w:rPr>
        <w:t>___________________________________________________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00E96538" w:rsidRPr="00961C9F">
        <w:rPr>
          <w:rFonts w:eastAsia="Times New Roman" w:cstheme="minorHAnsi"/>
          <w:sz w:val="24"/>
          <w:szCs w:val="24"/>
        </w:rPr>
        <w:tab/>
        <w:t>Fax:  _</w:t>
      </w:r>
      <w:r>
        <w:rPr>
          <w:rFonts w:eastAsia="Times New Roman" w:cstheme="minorHAnsi"/>
          <w:sz w:val="24"/>
          <w:szCs w:val="24"/>
        </w:rPr>
        <w:t>___________________</w:t>
      </w:r>
      <w:r w:rsidR="00E96538" w:rsidRPr="00961C9F">
        <w:rPr>
          <w:rFonts w:eastAsia="Times New Roman" w:cstheme="minorHAnsi"/>
          <w:sz w:val="24"/>
          <w:szCs w:val="24"/>
        </w:rPr>
        <w:t>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sidR="0015015C">
        <w:rPr>
          <w:rFonts w:eastAsia="Times New Roman" w:cstheme="minorHAnsi"/>
          <w:sz w:val="24"/>
          <w:szCs w:val="24"/>
        </w:rPr>
        <w:t>_____________________________</w:t>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sidR="0015015C">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E96538" w:rsidRPr="0015015C"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sidR="0015015C">
        <w:rPr>
          <w:rFonts w:eastAsia="Times New Roman" w:cstheme="minorHAnsi"/>
          <w:sz w:val="24"/>
          <w:szCs w:val="24"/>
        </w:rPr>
        <w:t>esentative’s Printed Title: __________________________________________</w:t>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NAICS code # </w:t>
      </w:r>
      <w:r w:rsidR="0015015C">
        <w:rPr>
          <w:rFonts w:eastAsia="Times New Roman" w:cstheme="minorHAnsi"/>
          <w:sz w:val="24"/>
          <w:szCs w:val="24"/>
        </w:rPr>
        <w:t>___________________</w:t>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54A8">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651D1D"/>
    <w:multiLevelType w:val="hybridMultilevel"/>
    <w:tmpl w:val="0DC8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34D2D"/>
    <w:rsid w:val="0004451E"/>
    <w:rsid w:val="00047256"/>
    <w:rsid w:val="00067D91"/>
    <w:rsid w:val="000A2DBA"/>
    <w:rsid w:val="000F7E7B"/>
    <w:rsid w:val="00121D32"/>
    <w:rsid w:val="0015015C"/>
    <w:rsid w:val="001D652F"/>
    <w:rsid w:val="0023713C"/>
    <w:rsid w:val="00237B18"/>
    <w:rsid w:val="00237E51"/>
    <w:rsid w:val="002C1F09"/>
    <w:rsid w:val="003023C7"/>
    <w:rsid w:val="0042040E"/>
    <w:rsid w:val="00453D20"/>
    <w:rsid w:val="00456E00"/>
    <w:rsid w:val="004609EB"/>
    <w:rsid w:val="00470E46"/>
    <w:rsid w:val="00491218"/>
    <w:rsid w:val="004D32F5"/>
    <w:rsid w:val="004F2163"/>
    <w:rsid w:val="00501B4E"/>
    <w:rsid w:val="00505590"/>
    <w:rsid w:val="005628BD"/>
    <w:rsid w:val="00660A23"/>
    <w:rsid w:val="006A36A9"/>
    <w:rsid w:val="006A381D"/>
    <w:rsid w:val="00742EB0"/>
    <w:rsid w:val="007B1E1F"/>
    <w:rsid w:val="007E28A9"/>
    <w:rsid w:val="007F794E"/>
    <w:rsid w:val="008013D0"/>
    <w:rsid w:val="008155C1"/>
    <w:rsid w:val="00834241"/>
    <w:rsid w:val="00841929"/>
    <w:rsid w:val="00884297"/>
    <w:rsid w:val="008E17EA"/>
    <w:rsid w:val="00915159"/>
    <w:rsid w:val="00915F03"/>
    <w:rsid w:val="009815F3"/>
    <w:rsid w:val="0099644D"/>
    <w:rsid w:val="00997F9B"/>
    <w:rsid w:val="009A626B"/>
    <w:rsid w:val="009D2F2D"/>
    <w:rsid w:val="00A90CEE"/>
    <w:rsid w:val="00B04250"/>
    <w:rsid w:val="00B244CD"/>
    <w:rsid w:val="00B26443"/>
    <w:rsid w:val="00C3003E"/>
    <w:rsid w:val="00C60AFF"/>
    <w:rsid w:val="00C93269"/>
    <w:rsid w:val="00D808BA"/>
    <w:rsid w:val="00E07E65"/>
    <w:rsid w:val="00E13CFA"/>
    <w:rsid w:val="00E14E73"/>
    <w:rsid w:val="00E6188A"/>
    <w:rsid w:val="00E629E4"/>
    <w:rsid w:val="00E654A8"/>
    <w:rsid w:val="00E94324"/>
    <w:rsid w:val="00E96538"/>
    <w:rsid w:val="00ED0F6D"/>
    <w:rsid w:val="00ED417D"/>
    <w:rsid w:val="00EE6F09"/>
    <w:rsid w:val="00EF34DB"/>
    <w:rsid w:val="00F305ED"/>
    <w:rsid w:val="00F5105A"/>
    <w:rsid w:val="00F9773C"/>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CE25"/>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88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727098601">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28</cp:revision>
  <dcterms:created xsi:type="dcterms:W3CDTF">2022-04-05T14:46:00Z</dcterms:created>
  <dcterms:modified xsi:type="dcterms:W3CDTF">2022-04-29T19:50:00Z</dcterms:modified>
</cp:coreProperties>
</file>