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CA50AA" w:rsidRPr="00D034EB" w:rsidRDefault="00CA50AA"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CA50AA" w:rsidRPr="00F75BD1" w:rsidRDefault="00CA50AA"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CA50AA" w:rsidRPr="00D034EB" w:rsidRDefault="00CA50AA"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CA50AA" w:rsidRPr="00F75BD1" w:rsidRDefault="00CA50AA"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CA50AA" w:rsidRPr="00117FE5" w:rsidRDefault="00CA50AA" w:rsidP="001363D7">
                                <w:pPr>
                                  <w:pStyle w:val="NoSpacing"/>
                                  <w:ind w:left="-2250"/>
                                  <w:rPr>
                                    <w:color w:val="5B9BD5" w:themeColor="accent1"/>
                                    <w:sz w:val="48"/>
                                    <w:szCs w:val="48"/>
                                    <w:highlight w:val="blue"/>
                                  </w:rPr>
                                </w:pPr>
                                <w:r w:rsidRPr="00117FE5">
                                  <w:rPr>
                                    <w:color w:val="5B9BD5" w:themeColor="accent1"/>
                                    <w:sz w:val="44"/>
                                    <w:szCs w:val="44"/>
                                  </w:rPr>
                                  <w:t xml:space="preserve">       Infrastructure Modernization Storage and Compute </w:t>
                                </w:r>
                                <w:r w:rsidRPr="00117FE5">
                                  <w:rPr>
                                    <w:color w:val="5B9BD5" w:themeColor="accent1"/>
                                    <w:sz w:val="48"/>
                                    <w:szCs w:val="48"/>
                                  </w:rPr>
                                  <w:t xml:space="preserve"> </w:t>
                                </w:r>
                              </w:p>
                              <w:p w:rsidR="00CA50AA" w:rsidRPr="00117FE5" w:rsidRDefault="00CA50AA" w:rsidP="00E96538">
                                <w:pPr>
                                  <w:pStyle w:val="NoSpacing"/>
                                  <w:jc w:val="right"/>
                                  <w:rPr>
                                    <w:color w:val="5B9BD5" w:themeColor="accent1"/>
                                    <w:sz w:val="44"/>
                                    <w:szCs w:val="44"/>
                                  </w:rPr>
                                </w:pPr>
                                <w:r w:rsidRPr="00117FE5">
                                  <w:rPr>
                                    <w:color w:val="5B9BD5" w:themeColor="accent1"/>
                                    <w:sz w:val="48"/>
                                    <w:szCs w:val="48"/>
                                  </w:rPr>
                                  <w:t>RFP SGC-0052-22JR</w:t>
                                </w:r>
                                <w:r w:rsidRPr="00117FE5">
                                  <w:rPr>
                                    <w:color w:val="5B9BD5" w:themeColor="accent1"/>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CA50AA" w:rsidRPr="00117FE5" w:rsidRDefault="00CA50AA" w:rsidP="001363D7">
                          <w:pPr>
                            <w:pStyle w:val="NoSpacing"/>
                            <w:ind w:left="-2250"/>
                            <w:rPr>
                              <w:color w:val="5B9BD5" w:themeColor="accent1"/>
                              <w:sz w:val="48"/>
                              <w:szCs w:val="48"/>
                              <w:highlight w:val="blue"/>
                            </w:rPr>
                          </w:pPr>
                          <w:r w:rsidRPr="00117FE5">
                            <w:rPr>
                              <w:color w:val="5B9BD5" w:themeColor="accent1"/>
                              <w:sz w:val="44"/>
                              <w:szCs w:val="44"/>
                            </w:rPr>
                            <w:t xml:space="preserve">       Infrastructure Modernization Storage and Compute </w:t>
                          </w:r>
                          <w:r w:rsidRPr="00117FE5">
                            <w:rPr>
                              <w:color w:val="5B9BD5" w:themeColor="accent1"/>
                              <w:sz w:val="48"/>
                              <w:szCs w:val="48"/>
                            </w:rPr>
                            <w:t xml:space="preserve"> </w:t>
                          </w:r>
                        </w:p>
                        <w:p w:rsidR="00CA50AA" w:rsidRPr="00117FE5" w:rsidRDefault="00CA50AA" w:rsidP="00E96538">
                          <w:pPr>
                            <w:pStyle w:val="NoSpacing"/>
                            <w:jc w:val="right"/>
                            <w:rPr>
                              <w:color w:val="5B9BD5" w:themeColor="accent1"/>
                              <w:sz w:val="44"/>
                              <w:szCs w:val="44"/>
                            </w:rPr>
                          </w:pPr>
                          <w:r w:rsidRPr="00117FE5">
                            <w:rPr>
                              <w:color w:val="5B9BD5" w:themeColor="accent1"/>
                              <w:sz w:val="48"/>
                              <w:szCs w:val="48"/>
                            </w:rPr>
                            <w:t>RFP SGC-0052-22JR</w:t>
                          </w:r>
                          <w:r w:rsidRPr="00117FE5">
                            <w:rPr>
                              <w:color w:val="5B9BD5" w:themeColor="accent1"/>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CA50AA" w:rsidRPr="00B96925" w:rsidRDefault="00CA50AA" w:rsidP="00B96925">
                                <w:pPr>
                                  <w:pStyle w:val="NoSpacing"/>
                                  <w:jc w:val="right"/>
                                  <w:rPr>
                                    <w:color w:val="2E74B5" w:themeColor="accent1" w:themeShade="BF"/>
                                    <w:sz w:val="24"/>
                                    <w:szCs w:val="24"/>
                                  </w:rPr>
                                </w:pPr>
                                <w:r w:rsidRPr="00B96925">
                                  <w:rPr>
                                    <w:color w:val="2E74B5" w:themeColor="accent1" w:themeShade="BF"/>
                                    <w:sz w:val="24"/>
                                    <w:szCs w:val="24"/>
                                  </w:rPr>
                                  <w:t>The Seneca Gaming Corporation Procurement Department is requesting bids for the above-mentioned goods and/or services</w:t>
                                </w:r>
                              </w:p>
                              <w:p w:rsidR="00CA50AA" w:rsidRPr="003E48CF" w:rsidRDefault="00CA50AA"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CA50AA" w:rsidRPr="00B96925" w:rsidRDefault="00CA50AA" w:rsidP="00B96925">
                          <w:pPr>
                            <w:pStyle w:val="NoSpacing"/>
                            <w:jc w:val="right"/>
                            <w:rPr>
                              <w:color w:val="2E74B5" w:themeColor="accent1" w:themeShade="BF"/>
                              <w:sz w:val="24"/>
                              <w:szCs w:val="24"/>
                            </w:rPr>
                          </w:pPr>
                          <w:r w:rsidRPr="00B96925">
                            <w:rPr>
                              <w:color w:val="2E74B5" w:themeColor="accent1" w:themeShade="BF"/>
                              <w:sz w:val="24"/>
                              <w:szCs w:val="24"/>
                            </w:rPr>
                            <w:t>The Seneca Gaming Corporation Procurement Department is requesting bids for the above-mentioned goods and/or services</w:t>
                          </w:r>
                        </w:p>
                        <w:p w:rsidR="00CA50AA" w:rsidRPr="003E48CF" w:rsidRDefault="00CA50AA"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CA50AA" w:rsidRPr="00A66CA8" w:rsidRDefault="00A26BA3" w:rsidP="00E96538">
                                <w:pPr>
                                  <w:pStyle w:val="NoSpacing"/>
                                  <w:jc w:val="right"/>
                                  <w:rPr>
                                    <w:color w:val="5B9BD5" w:themeColor="accent1"/>
                                    <w:sz w:val="36"/>
                                    <w:szCs w:val="36"/>
                                  </w:rPr>
                                </w:pPr>
                                <w:r>
                                  <w:rPr>
                                    <w:color w:val="5B9BD5" w:themeColor="accent1"/>
                                    <w:sz w:val="36"/>
                                    <w:szCs w:val="36"/>
                                  </w:rPr>
                                  <w:t>May 24</w:t>
                                </w:r>
                                <w:r w:rsidR="00CA50AA">
                                  <w:rPr>
                                    <w:color w:val="5B9BD5" w:themeColor="accent1"/>
                                    <w:sz w:val="36"/>
                                    <w:szCs w:val="36"/>
                                  </w:rPr>
                                  <w:t>, 2022</w:t>
                                </w:r>
                              </w:p>
                              <w:p w:rsidR="00CA50AA" w:rsidRDefault="00CA50AA"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CA50AA" w:rsidRPr="00A66CA8" w:rsidRDefault="00A26BA3" w:rsidP="00E96538">
                          <w:pPr>
                            <w:pStyle w:val="NoSpacing"/>
                            <w:jc w:val="right"/>
                            <w:rPr>
                              <w:color w:val="5B9BD5" w:themeColor="accent1"/>
                              <w:sz w:val="36"/>
                              <w:szCs w:val="36"/>
                            </w:rPr>
                          </w:pPr>
                          <w:r>
                            <w:rPr>
                              <w:color w:val="5B9BD5" w:themeColor="accent1"/>
                              <w:sz w:val="36"/>
                              <w:szCs w:val="36"/>
                            </w:rPr>
                            <w:t>May 24</w:t>
                          </w:r>
                          <w:r w:rsidR="00CA50AA">
                            <w:rPr>
                              <w:color w:val="5B9BD5" w:themeColor="accent1"/>
                              <w:sz w:val="36"/>
                              <w:szCs w:val="36"/>
                            </w:rPr>
                            <w:t>, 2022</w:t>
                          </w:r>
                        </w:p>
                        <w:p w:rsidR="00CA50AA" w:rsidRDefault="00CA50AA"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50AA" w:rsidRDefault="00DE5F7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A50AA">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CA50AA" w:rsidRDefault="00CA50AA"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CA50AA" w:rsidRDefault="00CA50A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CA50AA" w:rsidRDefault="00CA50AA"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CA50AA"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3767083" w:history="1">
            <w:r w:rsidR="00CA50AA" w:rsidRPr="00A137E9">
              <w:rPr>
                <w:rStyle w:val="Hyperlink"/>
                <w:noProof/>
              </w:rPr>
              <w:t>I.</w:t>
            </w:r>
            <w:r w:rsidR="00CA50AA">
              <w:rPr>
                <w:rFonts w:eastAsiaTheme="minorEastAsia"/>
                <w:noProof/>
              </w:rPr>
              <w:tab/>
            </w:r>
            <w:r w:rsidR="00CA50AA" w:rsidRPr="00A137E9">
              <w:rPr>
                <w:rStyle w:val="Hyperlink"/>
                <w:noProof/>
              </w:rPr>
              <w:t>Introduction</w:t>
            </w:r>
            <w:r w:rsidR="00CA50AA">
              <w:rPr>
                <w:noProof/>
                <w:webHidden/>
              </w:rPr>
              <w:tab/>
            </w:r>
            <w:r w:rsidR="00CA50AA">
              <w:rPr>
                <w:noProof/>
                <w:webHidden/>
              </w:rPr>
              <w:fldChar w:fldCharType="begin"/>
            </w:r>
            <w:r w:rsidR="00CA50AA">
              <w:rPr>
                <w:noProof/>
                <w:webHidden/>
              </w:rPr>
              <w:instrText xml:space="preserve"> PAGEREF _Toc103767083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1"/>
            <w:tabs>
              <w:tab w:val="left" w:pos="440"/>
              <w:tab w:val="right" w:leader="dot" w:pos="9350"/>
            </w:tabs>
            <w:rPr>
              <w:rFonts w:eastAsiaTheme="minorEastAsia"/>
              <w:noProof/>
            </w:rPr>
          </w:pPr>
          <w:hyperlink w:anchor="_Toc103767084" w:history="1">
            <w:r w:rsidR="00CA50AA" w:rsidRPr="00A137E9">
              <w:rPr>
                <w:rStyle w:val="Hyperlink"/>
                <w:noProof/>
              </w:rPr>
              <w:t>II.</w:t>
            </w:r>
            <w:r w:rsidR="00CA50AA">
              <w:rPr>
                <w:rFonts w:eastAsiaTheme="minorEastAsia"/>
                <w:noProof/>
              </w:rPr>
              <w:tab/>
            </w:r>
            <w:r w:rsidR="00CA50AA" w:rsidRPr="00A137E9">
              <w:rPr>
                <w:rStyle w:val="Hyperlink"/>
                <w:noProof/>
              </w:rPr>
              <w:t>RFP Objective</w:t>
            </w:r>
            <w:r w:rsidR="00CA50AA">
              <w:rPr>
                <w:noProof/>
                <w:webHidden/>
              </w:rPr>
              <w:tab/>
            </w:r>
            <w:r w:rsidR="00CA50AA">
              <w:rPr>
                <w:noProof/>
                <w:webHidden/>
              </w:rPr>
              <w:fldChar w:fldCharType="begin"/>
            </w:r>
            <w:r w:rsidR="00CA50AA">
              <w:rPr>
                <w:noProof/>
                <w:webHidden/>
              </w:rPr>
              <w:instrText xml:space="preserve"> PAGEREF _Toc103767084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1"/>
            <w:tabs>
              <w:tab w:val="left" w:pos="660"/>
              <w:tab w:val="right" w:leader="dot" w:pos="9350"/>
            </w:tabs>
            <w:rPr>
              <w:rFonts w:eastAsiaTheme="minorEastAsia"/>
              <w:noProof/>
            </w:rPr>
          </w:pPr>
          <w:hyperlink w:anchor="_Toc103767085" w:history="1">
            <w:r w:rsidR="00CA50AA" w:rsidRPr="00A137E9">
              <w:rPr>
                <w:rStyle w:val="Hyperlink"/>
                <w:noProof/>
              </w:rPr>
              <w:t>III.</w:t>
            </w:r>
            <w:r w:rsidR="00CA50AA">
              <w:rPr>
                <w:rFonts w:eastAsiaTheme="minorEastAsia"/>
                <w:noProof/>
              </w:rPr>
              <w:tab/>
            </w:r>
            <w:r w:rsidR="00CA50AA" w:rsidRPr="00A137E9">
              <w:rPr>
                <w:rStyle w:val="Hyperlink"/>
                <w:noProof/>
              </w:rPr>
              <w:t>RFP Administrative Information</w:t>
            </w:r>
            <w:r w:rsidR="00CA50AA">
              <w:rPr>
                <w:noProof/>
                <w:webHidden/>
              </w:rPr>
              <w:tab/>
            </w:r>
            <w:r w:rsidR="00CA50AA">
              <w:rPr>
                <w:noProof/>
                <w:webHidden/>
              </w:rPr>
              <w:fldChar w:fldCharType="begin"/>
            </w:r>
            <w:r w:rsidR="00CA50AA">
              <w:rPr>
                <w:noProof/>
                <w:webHidden/>
              </w:rPr>
              <w:instrText xml:space="preserve"> PAGEREF _Toc103767085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86" w:history="1">
            <w:r w:rsidR="00CA50AA" w:rsidRPr="00A137E9">
              <w:rPr>
                <w:rStyle w:val="Hyperlink"/>
                <w:noProof/>
              </w:rPr>
              <w:t>A.</w:t>
            </w:r>
            <w:r w:rsidR="00CA50AA">
              <w:rPr>
                <w:rFonts w:eastAsiaTheme="minorEastAsia"/>
                <w:noProof/>
              </w:rPr>
              <w:tab/>
            </w:r>
            <w:r w:rsidR="00CA50AA" w:rsidRPr="00A137E9">
              <w:rPr>
                <w:rStyle w:val="Hyperlink"/>
                <w:noProof/>
              </w:rPr>
              <w:t>Contact Information</w:t>
            </w:r>
            <w:r w:rsidR="00CA50AA">
              <w:rPr>
                <w:noProof/>
                <w:webHidden/>
              </w:rPr>
              <w:tab/>
            </w:r>
            <w:r w:rsidR="00CA50AA">
              <w:rPr>
                <w:noProof/>
                <w:webHidden/>
              </w:rPr>
              <w:fldChar w:fldCharType="begin"/>
            </w:r>
            <w:r w:rsidR="00CA50AA">
              <w:rPr>
                <w:noProof/>
                <w:webHidden/>
              </w:rPr>
              <w:instrText xml:space="preserve"> PAGEREF _Toc103767086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87" w:history="1">
            <w:r w:rsidR="00CA50AA" w:rsidRPr="00A137E9">
              <w:rPr>
                <w:rStyle w:val="Hyperlink"/>
                <w:noProof/>
              </w:rPr>
              <w:t>B.</w:t>
            </w:r>
            <w:r w:rsidR="00CA50AA">
              <w:rPr>
                <w:rFonts w:eastAsiaTheme="minorEastAsia"/>
                <w:noProof/>
              </w:rPr>
              <w:tab/>
            </w:r>
            <w:r w:rsidR="00CA50AA" w:rsidRPr="00A137E9">
              <w:rPr>
                <w:rStyle w:val="Hyperlink"/>
                <w:noProof/>
              </w:rPr>
              <w:t>Schedule of Events</w:t>
            </w:r>
            <w:r w:rsidR="00CA50AA">
              <w:rPr>
                <w:noProof/>
                <w:webHidden/>
              </w:rPr>
              <w:tab/>
            </w:r>
            <w:r w:rsidR="00CA50AA">
              <w:rPr>
                <w:noProof/>
                <w:webHidden/>
              </w:rPr>
              <w:fldChar w:fldCharType="begin"/>
            </w:r>
            <w:r w:rsidR="00CA50AA">
              <w:rPr>
                <w:noProof/>
                <w:webHidden/>
              </w:rPr>
              <w:instrText xml:space="preserve"> PAGEREF _Toc103767087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88" w:history="1">
            <w:r w:rsidR="00CA50AA" w:rsidRPr="00A137E9">
              <w:rPr>
                <w:rStyle w:val="Hyperlink"/>
                <w:rFonts w:eastAsia="Times New Roman"/>
                <w:noProof/>
              </w:rPr>
              <w:t>C.</w:t>
            </w:r>
            <w:r w:rsidR="00CA50AA">
              <w:rPr>
                <w:rFonts w:eastAsiaTheme="minorEastAsia"/>
                <w:noProof/>
              </w:rPr>
              <w:tab/>
            </w:r>
            <w:r w:rsidR="00CA50AA" w:rsidRPr="00A137E9">
              <w:rPr>
                <w:rStyle w:val="Hyperlink"/>
                <w:rFonts w:eastAsia="Times New Roman"/>
                <w:noProof/>
              </w:rPr>
              <w:t>Intent to Bid</w:t>
            </w:r>
            <w:r w:rsidR="00CA50AA">
              <w:rPr>
                <w:noProof/>
                <w:webHidden/>
              </w:rPr>
              <w:tab/>
            </w:r>
            <w:r w:rsidR="00CA50AA">
              <w:rPr>
                <w:noProof/>
                <w:webHidden/>
              </w:rPr>
              <w:fldChar w:fldCharType="begin"/>
            </w:r>
            <w:r w:rsidR="00CA50AA">
              <w:rPr>
                <w:noProof/>
                <w:webHidden/>
              </w:rPr>
              <w:instrText xml:space="preserve"> PAGEREF _Toc103767088 \h </w:instrText>
            </w:r>
            <w:r w:rsidR="00CA50AA">
              <w:rPr>
                <w:noProof/>
                <w:webHidden/>
              </w:rPr>
            </w:r>
            <w:r w:rsidR="00CA50AA">
              <w:rPr>
                <w:noProof/>
                <w:webHidden/>
              </w:rPr>
              <w:fldChar w:fldCharType="separate"/>
            </w:r>
            <w:r w:rsidR="00FB2F60">
              <w:rPr>
                <w:noProof/>
                <w:webHidden/>
              </w:rPr>
              <w:t>3</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89" w:history="1">
            <w:r w:rsidR="00CA50AA" w:rsidRPr="00A137E9">
              <w:rPr>
                <w:rStyle w:val="Hyperlink"/>
                <w:rFonts w:eastAsia="Times New Roman"/>
                <w:noProof/>
              </w:rPr>
              <w:t>D.</w:t>
            </w:r>
            <w:r w:rsidR="00CA50AA">
              <w:rPr>
                <w:rFonts w:eastAsiaTheme="minorEastAsia"/>
                <w:noProof/>
              </w:rPr>
              <w:tab/>
            </w:r>
            <w:r w:rsidR="00CA50AA" w:rsidRPr="00A137E9">
              <w:rPr>
                <w:rStyle w:val="Hyperlink"/>
                <w:rFonts w:eastAsia="Times New Roman"/>
                <w:noProof/>
              </w:rPr>
              <w:t>Bidder Questions</w:t>
            </w:r>
            <w:r w:rsidR="00CA50AA">
              <w:rPr>
                <w:noProof/>
                <w:webHidden/>
              </w:rPr>
              <w:tab/>
            </w:r>
            <w:r w:rsidR="00CA50AA">
              <w:rPr>
                <w:noProof/>
                <w:webHidden/>
              </w:rPr>
              <w:fldChar w:fldCharType="begin"/>
            </w:r>
            <w:r w:rsidR="00CA50AA">
              <w:rPr>
                <w:noProof/>
                <w:webHidden/>
              </w:rPr>
              <w:instrText xml:space="preserve"> PAGEREF _Toc103767089 \h </w:instrText>
            </w:r>
            <w:r w:rsidR="00CA50AA">
              <w:rPr>
                <w:noProof/>
                <w:webHidden/>
              </w:rPr>
            </w:r>
            <w:r w:rsidR="00CA50AA">
              <w:rPr>
                <w:noProof/>
                <w:webHidden/>
              </w:rPr>
              <w:fldChar w:fldCharType="separate"/>
            </w:r>
            <w:r w:rsidR="00FB2F60">
              <w:rPr>
                <w:noProof/>
                <w:webHidden/>
              </w:rPr>
              <w:t>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0" w:history="1">
            <w:r w:rsidR="00CA50AA" w:rsidRPr="00A137E9">
              <w:rPr>
                <w:rStyle w:val="Hyperlink"/>
                <w:rFonts w:eastAsia="Times New Roman"/>
                <w:noProof/>
              </w:rPr>
              <w:t>E.</w:t>
            </w:r>
            <w:r w:rsidR="00CA50AA">
              <w:rPr>
                <w:rFonts w:eastAsiaTheme="minorEastAsia"/>
                <w:noProof/>
              </w:rPr>
              <w:tab/>
            </w:r>
            <w:r w:rsidR="00CA50AA" w:rsidRPr="00A137E9">
              <w:rPr>
                <w:rStyle w:val="Hyperlink"/>
                <w:rFonts w:eastAsia="Times New Roman"/>
                <w:noProof/>
              </w:rPr>
              <w:t>Submission of Proposals</w:t>
            </w:r>
            <w:r w:rsidR="00CA50AA">
              <w:rPr>
                <w:noProof/>
                <w:webHidden/>
              </w:rPr>
              <w:tab/>
            </w:r>
            <w:r w:rsidR="00CA50AA">
              <w:rPr>
                <w:noProof/>
                <w:webHidden/>
              </w:rPr>
              <w:fldChar w:fldCharType="begin"/>
            </w:r>
            <w:r w:rsidR="00CA50AA">
              <w:rPr>
                <w:noProof/>
                <w:webHidden/>
              </w:rPr>
              <w:instrText xml:space="preserve"> PAGEREF _Toc103767090 \h </w:instrText>
            </w:r>
            <w:r w:rsidR="00CA50AA">
              <w:rPr>
                <w:noProof/>
                <w:webHidden/>
              </w:rPr>
            </w:r>
            <w:r w:rsidR="00CA50AA">
              <w:rPr>
                <w:noProof/>
                <w:webHidden/>
              </w:rPr>
              <w:fldChar w:fldCharType="separate"/>
            </w:r>
            <w:r w:rsidR="00FB2F60">
              <w:rPr>
                <w:noProof/>
                <w:webHidden/>
              </w:rPr>
              <w:t>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1" w:history="1">
            <w:r w:rsidR="00CA50AA" w:rsidRPr="00A137E9">
              <w:rPr>
                <w:rStyle w:val="Hyperlink"/>
                <w:rFonts w:eastAsia="Times New Roman"/>
                <w:noProof/>
              </w:rPr>
              <w:t>F.</w:t>
            </w:r>
            <w:r w:rsidR="00CA50AA">
              <w:rPr>
                <w:rFonts w:eastAsiaTheme="minorEastAsia"/>
                <w:noProof/>
              </w:rPr>
              <w:tab/>
            </w:r>
            <w:r w:rsidR="00CA50AA" w:rsidRPr="00A137E9">
              <w:rPr>
                <w:rStyle w:val="Hyperlink"/>
                <w:rFonts w:eastAsia="Times New Roman"/>
                <w:noProof/>
              </w:rPr>
              <w:t>Non-disclosure Agreement</w:t>
            </w:r>
            <w:r w:rsidR="00CA50AA">
              <w:rPr>
                <w:noProof/>
                <w:webHidden/>
              </w:rPr>
              <w:tab/>
            </w:r>
            <w:r w:rsidR="00CA50AA">
              <w:rPr>
                <w:noProof/>
                <w:webHidden/>
              </w:rPr>
              <w:fldChar w:fldCharType="begin"/>
            </w:r>
            <w:r w:rsidR="00CA50AA">
              <w:rPr>
                <w:noProof/>
                <w:webHidden/>
              </w:rPr>
              <w:instrText xml:space="preserve"> PAGEREF _Toc103767091 \h </w:instrText>
            </w:r>
            <w:r w:rsidR="00CA50AA">
              <w:rPr>
                <w:noProof/>
                <w:webHidden/>
              </w:rPr>
            </w:r>
            <w:r w:rsidR="00CA50AA">
              <w:rPr>
                <w:noProof/>
                <w:webHidden/>
              </w:rPr>
              <w:fldChar w:fldCharType="separate"/>
            </w:r>
            <w:r w:rsidR="00FB2F60">
              <w:rPr>
                <w:noProof/>
                <w:webHidden/>
              </w:rPr>
              <w:t>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2" w:history="1">
            <w:r w:rsidR="00CA50AA" w:rsidRPr="00A137E9">
              <w:rPr>
                <w:rStyle w:val="Hyperlink"/>
                <w:rFonts w:eastAsia="Times New Roman"/>
                <w:noProof/>
              </w:rPr>
              <w:t>G.</w:t>
            </w:r>
            <w:r w:rsidR="00CA50AA">
              <w:rPr>
                <w:rFonts w:eastAsiaTheme="minorEastAsia"/>
                <w:noProof/>
              </w:rPr>
              <w:tab/>
            </w:r>
            <w:r w:rsidR="00CA50AA" w:rsidRPr="00A137E9">
              <w:rPr>
                <w:rStyle w:val="Hyperlink"/>
                <w:rFonts w:eastAsia="Times New Roman"/>
                <w:noProof/>
              </w:rPr>
              <w:t>Proposal Format</w:t>
            </w:r>
            <w:r w:rsidR="00CA50AA">
              <w:rPr>
                <w:noProof/>
                <w:webHidden/>
              </w:rPr>
              <w:tab/>
            </w:r>
            <w:r w:rsidR="00CA50AA">
              <w:rPr>
                <w:noProof/>
                <w:webHidden/>
              </w:rPr>
              <w:fldChar w:fldCharType="begin"/>
            </w:r>
            <w:r w:rsidR="00CA50AA">
              <w:rPr>
                <w:noProof/>
                <w:webHidden/>
              </w:rPr>
              <w:instrText xml:space="preserve"> PAGEREF _Toc103767092 \h </w:instrText>
            </w:r>
            <w:r w:rsidR="00CA50AA">
              <w:rPr>
                <w:noProof/>
                <w:webHidden/>
              </w:rPr>
            </w:r>
            <w:r w:rsidR="00CA50AA">
              <w:rPr>
                <w:noProof/>
                <w:webHidden/>
              </w:rPr>
              <w:fldChar w:fldCharType="separate"/>
            </w:r>
            <w:r w:rsidR="00FB2F60">
              <w:rPr>
                <w:noProof/>
                <w:webHidden/>
              </w:rPr>
              <w:t>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3" w:history="1">
            <w:r w:rsidR="00CA50AA" w:rsidRPr="00A137E9">
              <w:rPr>
                <w:rStyle w:val="Hyperlink"/>
                <w:rFonts w:eastAsia="Times New Roman"/>
                <w:noProof/>
              </w:rPr>
              <w:t>H.</w:t>
            </w:r>
            <w:r w:rsidR="00CA50AA">
              <w:rPr>
                <w:rFonts w:eastAsiaTheme="minorEastAsia"/>
                <w:noProof/>
              </w:rPr>
              <w:tab/>
            </w:r>
            <w:r w:rsidR="00CA50AA" w:rsidRPr="00A137E9">
              <w:rPr>
                <w:rStyle w:val="Hyperlink"/>
                <w:rFonts w:eastAsia="Times New Roman"/>
                <w:noProof/>
              </w:rPr>
              <w:t>Proposal Evaluation/Vendor Selection</w:t>
            </w:r>
            <w:r w:rsidR="00CA50AA">
              <w:rPr>
                <w:noProof/>
                <w:webHidden/>
              </w:rPr>
              <w:tab/>
            </w:r>
            <w:r w:rsidR="00CA50AA">
              <w:rPr>
                <w:noProof/>
                <w:webHidden/>
              </w:rPr>
              <w:fldChar w:fldCharType="begin"/>
            </w:r>
            <w:r w:rsidR="00CA50AA">
              <w:rPr>
                <w:noProof/>
                <w:webHidden/>
              </w:rPr>
              <w:instrText xml:space="preserve"> PAGEREF _Toc103767093 \h </w:instrText>
            </w:r>
            <w:r w:rsidR="00CA50AA">
              <w:rPr>
                <w:noProof/>
                <w:webHidden/>
              </w:rPr>
            </w:r>
            <w:r w:rsidR="00CA50AA">
              <w:rPr>
                <w:noProof/>
                <w:webHidden/>
              </w:rPr>
              <w:fldChar w:fldCharType="separate"/>
            </w:r>
            <w:r w:rsidR="00FB2F60">
              <w:rPr>
                <w:noProof/>
                <w:webHidden/>
              </w:rPr>
              <w:t>6</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4" w:history="1">
            <w:r w:rsidR="00CA50AA" w:rsidRPr="00A137E9">
              <w:rPr>
                <w:rStyle w:val="Hyperlink"/>
                <w:rFonts w:eastAsia="Times New Roman"/>
                <w:noProof/>
              </w:rPr>
              <w:t>I.</w:t>
            </w:r>
            <w:r w:rsidR="00CA50AA">
              <w:rPr>
                <w:rFonts w:eastAsiaTheme="minorEastAsia"/>
                <w:noProof/>
              </w:rPr>
              <w:tab/>
            </w:r>
            <w:r w:rsidR="00CA50AA" w:rsidRPr="00A137E9">
              <w:rPr>
                <w:rStyle w:val="Hyperlink"/>
                <w:rFonts w:eastAsia="Times New Roman"/>
                <w:noProof/>
              </w:rPr>
              <w:t>General Bidder Information</w:t>
            </w:r>
            <w:r w:rsidR="00CA50AA">
              <w:rPr>
                <w:noProof/>
                <w:webHidden/>
              </w:rPr>
              <w:tab/>
            </w:r>
            <w:r w:rsidR="00CA50AA">
              <w:rPr>
                <w:noProof/>
                <w:webHidden/>
              </w:rPr>
              <w:fldChar w:fldCharType="begin"/>
            </w:r>
            <w:r w:rsidR="00CA50AA">
              <w:rPr>
                <w:noProof/>
                <w:webHidden/>
              </w:rPr>
              <w:instrText xml:space="preserve"> PAGEREF _Toc103767094 \h </w:instrText>
            </w:r>
            <w:r w:rsidR="00CA50AA">
              <w:rPr>
                <w:noProof/>
                <w:webHidden/>
              </w:rPr>
            </w:r>
            <w:r w:rsidR="00CA50AA">
              <w:rPr>
                <w:noProof/>
                <w:webHidden/>
              </w:rPr>
              <w:fldChar w:fldCharType="separate"/>
            </w:r>
            <w:r w:rsidR="00FB2F60">
              <w:rPr>
                <w:noProof/>
                <w:webHidden/>
              </w:rPr>
              <w:t>6</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5" w:history="1">
            <w:r w:rsidR="00CA50AA" w:rsidRPr="00A137E9">
              <w:rPr>
                <w:rStyle w:val="Hyperlink"/>
                <w:rFonts w:eastAsia="Times New Roman"/>
                <w:noProof/>
              </w:rPr>
              <w:t>J.</w:t>
            </w:r>
            <w:r w:rsidR="00CA50AA">
              <w:rPr>
                <w:rFonts w:eastAsiaTheme="minorEastAsia"/>
                <w:noProof/>
              </w:rPr>
              <w:tab/>
            </w:r>
            <w:r w:rsidR="00CA50AA" w:rsidRPr="00A137E9">
              <w:rPr>
                <w:rStyle w:val="Hyperlink"/>
                <w:rFonts w:eastAsia="Times New Roman"/>
                <w:noProof/>
              </w:rPr>
              <w:t>SGC Standard Terms and Conditions</w:t>
            </w:r>
            <w:r w:rsidR="00CA50AA">
              <w:rPr>
                <w:noProof/>
                <w:webHidden/>
              </w:rPr>
              <w:tab/>
            </w:r>
            <w:r w:rsidR="00CA50AA">
              <w:rPr>
                <w:noProof/>
                <w:webHidden/>
              </w:rPr>
              <w:fldChar w:fldCharType="begin"/>
            </w:r>
            <w:r w:rsidR="00CA50AA">
              <w:rPr>
                <w:noProof/>
                <w:webHidden/>
              </w:rPr>
              <w:instrText xml:space="preserve"> PAGEREF _Toc103767095 \h </w:instrText>
            </w:r>
            <w:r w:rsidR="00CA50AA">
              <w:rPr>
                <w:noProof/>
                <w:webHidden/>
              </w:rPr>
            </w:r>
            <w:r w:rsidR="00CA50AA">
              <w:rPr>
                <w:noProof/>
                <w:webHidden/>
              </w:rPr>
              <w:fldChar w:fldCharType="separate"/>
            </w:r>
            <w:r w:rsidR="00FB2F60">
              <w:rPr>
                <w:noProof/>
                <w:webHidden/>
              </w:rPr>
              <w:t>7</w:t>
            </w:r>
            <w:r w:rsidR="00CA50AA">
              <w:rPr>
                <w:noProof/>
                <w:webHidden/>
              </w:rPr>
              <w:fldChar w:fldCharType="end"/>
            </w:r>
          </w:hyperlink>
        </w:p>
        <w:p w:rsidR="00CA50AA" w:rsidRDefault="00DE5F7A">
          <w:pPr>
            <w:pStyle w:val="TOC1"/>
            <w:tabs>
              <w:tab w:val="left" w:pos="660"/>
              <w:tab w:val="right" w:leader="dot" w:pos="9350"/>
            </w:tabs>
            <w:rPr>
              <w:rFonts w:eastAsiaTheme="minorEastAsia"/>
              <w:noProof/>
            </w:rPr>
          </w:pPr>
          <w:hyperlink w:anchor="_Toc103767096" w:history="1">
            <w:r w:rsidR="00CA50AA" w:rsidRPr="00A137E9">
              <w:rPr>
                <w:rStyle w:val="Hyperlink"/>
                <w:rFonts w:eastAsia="Times New Roman"/>
                <w:noProof/>
              </w:rPr>
              <w:t>IV.</w:t>
            </w:r>
            <w:r w:rsidR="00CA50AA">
              <w:rPr>
                <w:rFonts w:eastAsiaTheme="minorEastAsia"/>
                <w:noProof/>
              </w:rPr>
              <w:tab/>
            </w:r>
            <w:r w:rsidR="00CA50AA" w:rsidRPr="00A137E9">
              <w:rPr>
                <w:rStyle w:val="Hyperlink"/>
                <w:rFonts w:eastAsia="Times New Roman"/>
                <w:noProof/>
              </w:rPr>
              <w:t>Provisions Applicable to the Contract</w:t>
            </w:r>
            <w:r w:rsidR="00CA50AA">
              <w:rPr>
                <w:noProof/>
                <w:webHidden/>
              </w:rPr>
              <w:tab/>
            </w:r>
            <w:r w:rsidR="00CA50AA">
              <w:rPr>
                <w:noProof/>
                <w:webHidden/>
              </w:rPr>
              <w:fldChar w:fldCharType="begin"/>
            </w:r>
            <w:r w:rsidR="00CA50AA">
              <w:rPr>
                <w:noProof/>
                <w:webHidden/>
              </w:rPr>
              <w:instrText xml:space="preserve"> PAGEREF _Toc103767096 \h </w:instrText>
            </w:r>
            <w:r w:rsidR="00CA50AA">
              <w:rPr>
                <w:noProof/>
                <w:webHidden/>
              </w:rPr>
            </w:r>
            <w:r w:rsidR="00CA50AA">
              <w:rPr>
                <w:noProof/>
                <w:webHidden/>
              </w:rPr>
              <w:fldChar w:fldCharType="separate"/>
            </w:r>
            <w:r w:rsidR="00FB2F60">
              <w:rPr>
                <w:noProof/>
                <w:webHidden/>
              </w:rPr>
              <w:t>7</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7" w:history="1">
            <w:r w:rsidR="00CA50AA" w:rsidRPr="00A137E9">
              <w:rPr>
                <w:rStyle w:val="Hyperlink"/>
                <w:rFonts w:eastAsia="Times New Roman"/>
                <w:noProof/>
              </w:rPr>
              <w:t>A.</w:t>
            </w:r>
            <w:r w:rsidR="00CA50AA">
              <w:rPr>
                <w:rFonts w:eastAsiaTheme="minorEastAsia"/>
                <w:noProof/>
              </w:rPr>
              <w:tab/>
            </w:r>
            <w:r w:rsidR="00CA50AA" w:rsidRPr="00A137E9">
              <w:rPr>
                <w:rStyle w:val="Hyperlink"/>
                <w:rFonts w:eastAsia="Times New Roman"/>
                <w:noProof/>
              </w:rPr>
              <w:t>Agreement Term</w:t>
            </w:r>
            <w:r w:rsidR="00CA50AA">
              <w:rPr>
                <w:noProof/>
                <w:webHidden/>
              </w:rPr>
              <w:tab/>
            </w:r>
            <w:r w:rsidR="00CA50AA">
              <w:rPr>
                <w:noProof/>
                <w:webHidden/>
              </w:rPr>
              <w:fldChar w:fldCharType="begin"/>
            </w:r>
            <w:r w:rsidR="00CA50AA">
              <w:rPr>
                <w:noProof/>
                <w:webHidden/>
              </w:rPr>
              <w:instrText xml:space="preserve"> PAGEREF _Toc103767097 \h </w:instrText>
            </w:r>
            <w:r w:rsidR="00CA50AA">
              <w:rPr>
                <w:noProof/>
                <w:webHidden/>
              </w:rPr>
            </w:r>
            <w:r w:rsidR="00CA50AA">
              <w:rPr>
                <w:noProof/>
                <w:webHidden/>
              </w:rPr>
              <w:fldChar w:fldCharType="separate"/>
            </w:r>
            <w:r w:rsidR="00FB2F60">
              <w:rPr>
                <w:noProof/>
                <w:webHidden/>
              </w:rPr>
              <w:t>7</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8" w:history="1">
            <w:r w:rsidR="00CA50AA" w:rsidRPr="00A137E9">
              <w:rPr>
                <w:rStyle w:val="Hyperlink"/>
                <w:noProof/>
              </w:rPr>
              <w:t>B.</w:t>
            </w:r>
            <w:r w:rsidR="00CA50AA">
              <w:rPr>
                <w:rFonts w:eastAsiaTheme="minorEastAsia"/>
                <w:noProof/>
              </w:rPr>
              <w:tab/>
            </w:r>
            <w:r w:rsidR="00CA50AA" w:rsidRPr="00A137E9">
              <w:rPr>
                <w:rStyle w:val="Hyperlink"/>
                <w:noProof/>
              </w:rPr>
              <w:t>Requirements Specification</w:t>
            </w:r>
            <w:r w:rsidR="00CA50AA">
              <w:rPr>
                <w:noProof/>
                <w:webHidden/>
              </w:rPr>
              <w:tab/>
            </w:r>
            <w:r w:rsidR="00CA50AA">
              <w:rPr>
                <w:noProof/>
                <w:webHidden/>
              </w:rPr>
              <w:fldChar w:fldCharType="begin"/>
            </w:r>
            <w:r w:rsidR="00CA50AA">
              <w:rPr>
                <w:noProof/>
                <w:webHidden/>
              </w:rPr>
              <w:instrText xml:space="preserve"> PAGEREF _Toc103767098 \h </w:instrText>
            </w:r>
            <w:r w:rsidR="00CA50AA">
              <w:rPr>
                <w:noProof/>
                <w:webHidden/>
              </w:rPr>
            </w:r>
            <w:r w:rsidR="00CA50AA">
              <w:rPr>
                <w:noProof/>
                <w:webHidden/>
              </w:rPr>
              <w:fldChar w:fldCharType="separate"/>
            </w:r>
            <w:r w:rsidR="00FB2F60">
              <w:rPr>
                <w:noProof/>
                <w:webHidden/>
              </w:rPr>
              <w:t>7</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099" w:history="1">
            <w:r w:rsidR="00CA50AA" w:rsidRPr="00A137E9">
              <w:rPr>
                <w:rStyle w:val="Hyperlink"/>
                <w:noProof/>
              </w:rPr>
              <w:t>C.</w:t>
            </w:r>
            <w:r w:rsidR="00CA50AA">
              <w:rPr>
                <w:rFonts w:eastAsiaTheme="minorEastAsia"/>
                <w:noProof/>
              </w:rPr>
              <w:tab/>
            </w:r>
            <w:r w:rsidR="00CA50AA" w:rsidRPr="00A137E9">
              <w:rPr>
                <w:rStyle w:val="Hyperlink"/>
                <w:noProof/>
              </w:rPr>
              <w:t>Price/Fee Structure and Terms</w:t>
            </w:r>
            <w:r w:rsidR="00CA50AA">
              <w:rPr>
                <w:noProof/>
                <w:webHidden/>
              </w:rPr>
              <w:tab/>
            </w:r>
            <w:r w:rsidR="00CA50AA">
              <w:rPr>
                <w:noProof/>
                <w:webHidden/>
              </w:rPr>
              <w:fldChar w:fldCharType="begin"/>
            </w:r>
            <w:r w:rsidR="00CA50AA">
              <w:rPr>
                <w:noProof/>
                <w:webHidden/>
              </w:rPr>
              <w:instrText xml:space="preserve"> PAGEREF _Toc103767099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0" w:history="1">
            <w:r w:rsidR="00CA50AA" w:rsidRPr="00A137E9">
              <w:rPr>
                <w:rStyle w:val="Hyperlink"/>
                <w:rFonts w:eastAsia="Times New Roman"/>
                <w:noProof/>
              </w:rPr>
              <w:t>D.</w:t>
            </w:r>
            <w:r w:rsidR="00CA50AA">
              <w:rPr>
                <w:rFonts w:eastAsiaTheme="minorEastAsia"/>
                <w:noProof/>
              </w:rPr>
              <w:tab/>
            </w:r>
            <w:r w:rsidR="00CA50AA" w:rsidRPr="00A137E9">
              <w:rPr>
                <w:rStyle w:val="Hyperlink"/>
                <w:rFonts w:eastAsia="Times New Roman"/>
                <w:noProof/>
              </w:rPr>
              <w:t>Pricing and Payment Terms</w:t>
            </w:r>
            <w:r w:rsidR="00CA50AA">
              <w:rPr>
                <w:noProof/>
                <w:webHidden/>
              </w:rPr>
              <w:tab/>
            </w:r>
            <w:r w:rsidR="00CA50AA">
              <w:rPr>
                <w:noProof/>
                <w:webHidden/>
              </w:rPr>
              <w:fldChar w:fldCharType="begin"/>
            </w:r>
            <w:r w:rsidR="00CA50AA">
              <w:rPr>
                <w:noProof/>
                <w:webHidden/>
              </w:rPr>
              <w:instrText xml:space="preserve"> PAGEREF _Toc103767100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1" w:history="1">
            <w:r w:rsidR="00CA50AA" w:rsidRPr="00A137E9">
              <w:rPr>
                <w:rStyle w:val="Hyperlink"/>
                <w:noProof/>
              </w:rPr>
              <w:t>E.</w:t>
            </w:r>
            <w:r w:rsidR="00CA50AA">
              <w:rPr>
                <w:rFonts w:eastAsiaTheme="minorEastAsia"/>
                <w:noProof/>
              </w:rPr>
              <w:tab/>
            </w:r>
            <w:r w:rsidR="00CA50AA" w:rsidRPr="00A137E9">
              <w:rPr>
                <w:rStyle w:val="Hyperlink"/>
                <w:noProof/>
              </w:rPr>
              <w:t>Price Escalation</w:t>
            </w:r>
            <w:r w:rsidR="00CA50AA">
              <w:rPr>
                <w:noProof/>
                <w:webHidden/>
              </w:rPr>
              <w:tab/>
            </w:r>
            <w:r w:rsidR="00CA50AA">
              <w:rPr>
                <w:noProof/>
                <w:webHidden/>
              </w:rPr>
              <w:fldChar w:fldCharType="begin"/>
            </w:r>
            <w:r w:rsidR="00CA50AA">
              <w:rPr>
                <w:noProof/>
                <w:webHidden/>
              </w:rPr>
              <w:instrText xml:space="preserve"> PAGEREF _Toc103767101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2" w:history="1">
            <w:r w:rsidR="00CA50AA" w:rsidRPr="00A137E9">
              <w:rPr>
                <w:rStyle w:val="Hyperlink"/>
                <w:rFonts w:eastAsia="Times New Roman"/>
                <w:noProof/>
              </w:rPr>
              <w:t>F.</w:t>
            </w:r>
            <w:r w:rsidR="00CA50AA">
              <w:rPr>
                <w:rFonts w:eastAsiaTheme="minorEastAsia"/>
                <w:noProof/>
              </w:rPr>
              <w:tab/>
            </w:r>
            <w:r w:rsidR="00CA50AA" w:rsidRPr="00A137E9">
              <w:rPr>
                <w:rStyle w:val="Hyperlink"/>
                <w:rFonts w:eastAsia="Times New Roman"/>
                <w:noProof/>
              </w:rPr>
              <w:t>Tax Exempt Status</w:t>
            </w:r>
            <w:r w:rsidR="00CA50AA">
              <w:rPr>
                <w:noProof/>
                <w:webHidden/>
              </w:rPr>
              <w:tab/>
            </w:r>
            <w:r w:rsidR="00CA50AA">
              <w:rPr>
                <w:noProof/>
                <w:webHidden/>
              </w:rPr>
              <w:fldChar w:fldCharType="begin"/>
            </w:r>
            <w:r w:rsidR="00CA50AA">
              <w:rPr>
                <w:noProof/>
                <w:webHidden/>
              </w:rPr>
              <w:instrText xml:space="preserve"> PAGEREF _Toc103767102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3" w:history="1">
            <w:r w:rsidR="00CA50AA" w:rsidRPr="00A137E9">
              <w:rPr>
                <w:rStyle w:val="Hyperlink"/>
                <w:rFonts w:eastAsia="Times New Roman"/>
                <w:noProof/>
              </w:rPr>
              <w:t>G.</w:t>
            </w:r>
            <w:r w:rsidR="00CA50AA">
              <w:rPr>
                <w:rFonts w:eastAsiaTheme="minorEastAsia"/>
                <w:noProof/>
              </w:rPr>
              <w:tab/>
            </w:r>
            <w:r w:rsidR="00CA50AA" w:rsidRPr="00A137E9">
              <w:rPr>
                <w:rStyle w:val="Hyperlink"/>
                <w:rFonts w:eastAsia="Times New Roman"/>
                <w:noProof/>
              </w:rPr>
              <w:t>Payment Terms</w:t>
            </w:r>
            <w:r w:rsidR="00CA50AA">
              <w:rPr>
                <w:noProof/>
                <w:webHidden/>
              </w:rPr>
              <w:tab/>
            </w:r>
            <w:r w:rsidR="00CA50AA">
              <w:rPr>
                <w:noProof/>
                <w:webHidden/>
              </w:rPr>
              <w:fldChar w:fldCharType="begin"/>
            </w:r>
            <w:r w:rsidR="00CA50AA">
              <w:rPr>
                <w:noProof/>
                <w:webHidden/>
              </w:rPr>
              <w:instrText xml:space="preserve"> PAGEREF _Toc103767103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1"/>
            <w:tabs>
              <w:tab w:val="left" w:pos="440"/>
              <w:tab w:val="right" w:leader="dot" w:pos="9350"/>
            </w:tabs>
            <w:rPr>
              <w:rFonts w:eastAsiaTheme="minorEastAsia"/>
              <w:noProof/>
            </w:rPr>
          </w:pPr>
          <w:hyperlink w:anchor="_Toc103767104" w:history="1">
            <w:r w:rsidR="00CA50AA" w:rsidRPr="00A137E9">
              <w:rPr>
                <w:rStyle w:val="Hyperlink"/>
                <w:rFonts w:eastAsia="Times New Roman"/>
                <w:noProof/>
              </w:rPr>
              <w:t>V.</w:t>
            </w:r>
            <w:r w:rsidR="00CA50AA">
              <w:rPr>
                <w:rFonts w:eastAsiaTheme="minorEastAsia"/>
                <w:noProof/>
              </w:rPr>
              <w:tab/>
            </w:r>
            <w:r w:rsidR="00CA50AA" w:rsidRPr="00A137E9">
              <w:rPr>
                <w:rStyle w:val="Hyperlink"/>
                <w:rFonts w:eastAsia="Times New Roman"/>
                <w:noProof/>
              </w:rPr>
              <w:t>Supplemental Bidder Information</w:t>
            </w:r>
            <w:r w:rsidR="00CA50AA">
              <w:rPr>
                <w:noProof/>
                <w:webHidden/>
              </w:rPr>
              <w:tab/>
            </w:r>
            <w:r w:rsidR="00CA50AA">
              <w:rPr>
                <w:noProof/>
                <w:webHidden/>
              </w:rPr>
              <w:fldChar w:fldCharType="begin"/>
            </w:r>
            <w:r w:rsidR="00CA50AA">
              <w:rPr>
                <w:noProof/>
                <w:webHidden/>
              </w:rPr>
              <w:instrText xml:space="preserve"> PAGEREF _Toc103767104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5" w:history="1">
            <w:r w:rsidR="00CA50AA" w:rsidRPr="00A137E9">
              <w:rPr>
                <w:rStyle w:val="Hyperlink"/>
                <w:rFonts w:eastAsia="Times New Roman"/>
                <w:noProof/>
              </w:rPr>
              <w:t>A.</w:t>
            </w:r>
            <w:r w:rsidR="00CA50AA">
              <w:rPr>
                <w:rFonts w:eastAsiaTheme="minorEastAsia"/>
                <w:noProof/>
              </w:rPr>
              <w:tab/>
            </w:r>
            <w:r w:rsidR="00CA50AA" w:rsidRPr="00A137E9">
              <w:rPr>
                <w:rStyle w:val="Hyperlink"/>
                <w:rFonts w:eastAsia="Times New Roman"/>
                <w:noProof/>
              </w:rPr>
              <w:t>Business Continuity</w:t>
            </w:r>
            <w:r w:rsidR="00CA50AA">
              <w:rPr>
                <w:noProof/>
                <w:webHidden/>
              </w:rPr>
              <w:tab/>
            </w:r>
            <w:r w:rsidR="00CA50AA">
              <w:rPr>
                <w:noProof/>
                <w:webHidden/>
              </w:rPr>
              <w:fldChar w:fldCharType="begin"/>
            </w:r>
            <w:r w:rsidR="00CA50AA">
              <w:rPr>
                <w:noProof/>
                <w:webHidden/>
              </w:rPr>
              <w:instrText xml:space="preserve"> PAGEREF _Toc103767105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6" w:history="1">
            <w:r w:rsidR="00CA50AA" w:rsidRPr="00A137E9">
              <w:rPr>
                <w:rStyle w:val="Hyperlink"/>
                <w:rFonts w:eastAsia="Times New Roman"/>
                <w:noProof/>
              </w:rPr>
              <w:t>B.</w:t>
            </w:r>
            <w:r w:rsidR="00CA50AA">
              <w:rPr>
                <w:rFonts w:eastAsiaTheme="minorEastAsia"/>
                <w:noProof/>
              </w:rPr>
              <w:tab/>
            </w:r>
            <w:r w:rsidR="00CA50AA" w:rsidRPr="00A137E9">
              <w:rPr>
                <w:rStyle w:val="Hyperlink"/>
                <w:rFonts w:eastAsia="Times New Roman"/>
                <w:noProof/>
              </w:rPr>
              <w:t>Conformity of Proposal with SGC Requirements</w:t>
            </w:r>
            <w:r w:rsidR="00CA50AA">
              <w:rPr>
                <w:noProof/>
                <w:webHidden/>
              </w:rPr>
              <w:tab/>
            </w:r>
            <w:r w:rsidR="00CA50AA">
              <w:rPr>
                <w:noProof/>
                <w:webHidden/>
              </w:rPr>
              <w:fldChar w:fldCharType="begin"/>
            </w:r>
            <w:r w:rsidR="00CA50AA">
              <w:rPr>
                <w:noProof/>
                <w:webHidden/>
              </w:rPr>
              <w:instrText xml:space="preserve"> PAGEREF _Toc103767106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1"/>
            <w:tabs>
              <w:tab w:val="left" w:pos="660"/>
              <w:tab w:val="right" w:leader="dot" w:pos="9350"/>
            </w:tabs>
            <w:rPr>
              <w:rFonts w:eastAsiaTheme="minorEastAsia"/>
              <w:noProof/>
            </w:rPr>
          </w:pPr>
          <w:hyperlink w:anchor="_Toc103767107" w:history="1">
            <w:r w:rsidR="00CA50AA" w:rsidRPr="00A137E9">
              <w:rPr>
                <w:rStyle w:val="Hyperlink"/>
                <w:rFonts w:eastAsia="Times New Roman"/>
                <w:noProof/>
              </w:rPr>
              <w:t>VI.</w:t>
            </w:r>
            <w:r w:rsidR="00CA50AA">
              <w:rPr>
                <w:rFonts w:eastAsiaTheme="minorEastAsia"/>
                <w:noProof/>
              </w:rPr>
              <w:tab/>
            </w:r>
            <w:r w:rsidR="00CA50AA" w:rsidRPr="00A137E9">
              <w:rPr>
                <w:rStyle w:val="Hyperlink"/>
                <w:rFonts w:eastAsia="Times New Roman"/>
                <w:noProof/>
              </w:rPr>
              <w:t>Vendor Requirements</w:t>
            </w:r>
            <w:r w:rsidR="00CA50AA">
              <w:rPr>
                <w:noProof/>
                <w:webHidden/>
              </w:rPr>
              <w:tab/>
            </w:r>
            <w:r w:rsidR="00CA50AA">
              <w:rPr>
                <w:noProof/>
                <w:webHidden/>
              </w:rPr>
              <w:fldChar w:fldCharType="begin"/>
            </w:r>
            <w:r w:rsidR="00CA50AA">
              <w:rPr>
                <w:noProof/>
                <w:webHidden/>
              </w:rPr>
              <w:instrText xml:space="preserve"> PAGEREF _Toc103767107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8" w:history="1">
            <w:r w:rsidR="00CA50AA" w:rsidRPr="00A137E9">
              <w:rPr>
                <w:rStyle w:val="Hyperlink"/>
                <w:rFonts w:eastAsia="Times New Roman"/>
                <w:noProof/>
              </w:rPr>
              <w:t>A.</w:t>
            </w:r>
            <w:r w:rsidR="00CA50AA">
              <w:rPr>
                <w:rFonts w:eastAsiaTheme="minorEastAsia"/>
                <w:noProof/>
              </w:rPr>
              <w:tab/>
            </w:r>
            <w:r w:rsidR="00CA50AA" w:rsidRPr="00A137E9">
              <w:rPr>
                <w:rStyle w:val="Hyperlink"/>
                <w:rFonts w:eastAsia="Times New Roman"/>
                <w:noProof/>
              </w:rPr>
              <w:t>Proposal</w:t>
            </w:r>
            <w:r w:rsidR="00CA50AA">
              <w:rPr>
                <w:noProof/>
                <w:webHidden/>
              </w:rPr>
              <w:tab/>
            </w:r>
            <w:r w:rsidR="00CA50AA">
              <w:rPr>
                <w:noProof/>
                <w:webHidden/>
              </w:rPr>
              <w:fldChar w:fldCharType="begin"/>
            </w:r>
            <w:r w:rsidR="00CA50AA">
              <w:rPr>
                <w:noProof/>
                <w:webHidden/>
              </w:rPr>
              <w:instrText xml:space="preserve"> PAGEREF _Toc103767108 \h </w:instrText>
            </w:r>
            <w:r w:rsidR="00CA50AA">
              <w:rPr>
                <w:noProof/>
                <w:webHidden/>
              </w:rPr>
            </w:r>
            <w:r w:rsidR="00CA50AA">
              <w:rPr>
                <w:noProof/>
                <w:webHidden/>
              </w:rPr>
              <w:fldChar w:fldCharType="separate"/>
            </w:r>
            <w:r w:rsidR="00FB2F60">
              <w:rPr>
                <w:noProof/>
                <w:webHidden/>
              </w:rPr>
              <w:t>14</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09" w:history="1">
            <w:r w:rsidR="00CA50AA" w:rsidRPr="00A137E9">
              <w:rPr>
                <w:rStyle w:val="Hyperlink"/>
                <w:rFonts w:eastAsia="Times New Roman"/>
                <w:noProof/>
              </w:rPr>
              <w:t>B.</w:t>
            </w:r>
            <w:r w:rsidR="00CA50AA">
              <w:rPr>
                <w:rFonts w:eastAsiaTheme="minorEastAsia"/>
                <w:noProof/>
              </w:rPr>
              <w:tab/>
            </w:r>
            <w:r w:rsidR="00CA50AA" w:rsidRPr="00A137E9">
              <w:rPr>
                <w:rStyle w:val="Hyperlink"/>
                <w:rFonts w:eastAsia="Times New Roman"/>
                <w:noProof/>
              </w:rPr>
              <w:t>Standard Service Agreement</w:t>
            </w:r>
            <w:r w:rsidR="00CA50AA">
              <w:rPr>
                <w:noProof/>
                <w:webHidden/>
              </w:rPr>
              <w:tab/>
            </w:r>
            <w:r w:rsidR="00CA50AA">
              <w:rPr>
                <w:noProof/>
                <w:webHidden/>
              </w:rPr>
              <w:fldChar w:fldCharType="begin"/>
            </w:r>
            <w:r w:rsidR="00CA50AA">
              <w:rPr>
                <w:noProof/>
                <w:webHidden/>
              </w:rPr>
              <w:instrText xml:space="preserve"> PAGEREF _Toc103767109 \h </w:instrText>
            </w:r>
            <w:r w:rsidR="00CA50AA">
              <w:rPr>
                <w:noProof/>
                <w:webHidden/>
              </w:rPr>
            </w:r>
            <w:r w:rsidR="00CA50AA">
              <w:rPr>
                <w:noProof/>
                <w:webHidden/>
              </w:rPr>
              <w:fldChar w:fldCharType="separate"/>
            </w:r>
            <w:r w:rsidR="00FB2F60">
              <w:rPr>
                <w:noProof/>
                <w:webHidden/>
              </w:rPr>
              <w:t>15</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10" w:history="1">
            <w:r w:rsidR="00CA50AA" w:rsidRPr="00A137E9">
              <w:rPr>
                <w:rStyle w:val="Hyperlink"/>
                <w:rFonts w:eastAsia="Times New Roman"/>
                <w:noProof/>
              </w:rPr>
              <w:t>C.</w:t>
            </w:r>
            <w:r w:rsidR="00CA50AA">
              <w:rPr>
                <w:rFonts w:eastAsiaTheme="minorEastAsia"/>
                <w:noProof/>
              </w:rPr>
              <w:tab/>
            </w:r>
            <w:r w:rsidR="00CA50AA" w:rsidRPr="00A137E9">
              <w:rPr>
                <w:rStyle w:val="Hyperlink"/>
                <w:rFonts w:eastAsia="Times New Roman"/>
                <w:noProof/>
              </w:rPr>
              <w:t>Data Security</w:t>
            </w:r>
            <w:r w:rsidR="00CA50AA">
              <w:rPr>
                <w:noProof/>
                <w:webHidden/>
              </w:rPr>
              <w:tab/>
            </w:r>
            <w:r w:rsidR="00CA50AA">
              <w:rPr>
                <w:noProof/>
                <w:webHidden/>
              </w:rPr>
              <w:fldChar w:fldCharType="begin"/>
            </w:r>
            <w:r w:rsidR="00CA50AA">
              <w:rPr>
                <w:noProof/>
                <w:webHidden/>
              </w:rPr>
              <w:instrText xml:space="preserve"> PAGEREF _Toc103767110 \h </w:instrText>
            </w:r>
            <w:r w:rsidR="00CA50AA">
              <w:rPr>
                <w:noProof/>
                <w:webHidden/>
              </w:rPr>
            </w:r>
            <w:r w:rsidR="00CA50AA">
              <w:rPr>
                <w:noProof/>
                <w:webHidden/>
              </w:rPr>
              <w:fldChar w:fldCharType="separate"/>
            </w:r>
            <w:r w:rsidR="00FB2F60">
              <w:rPr>
                <w:noProof/>
                <w:webHidden/>
              </w:rPr>
              <w:t>15</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11" w:history="1">
            <w:r w:rsidR="00CA50AA" w:rsidRPr="00A137E9">
              <w:rPr>
                <w:rStyle w:val="Hyperlink"/>
                <w:rFonts w:eastAsia="Times New Roman"/>
                <w:noProof/>
              </w:rPr>
              <w:t>D.</w:t>
            </w:r>
            <w:r w:rsidR="00CA50AA">
              <w:rPr>
                <w:rFonts w:eastAsiaTheme="minorEastAsia"/>
                <w:noProof/>
              </w:rPr>
              <w:tab/>
            </w:r>
            <w:r w:rsidR="00CA50AA" w:rsidRPr="00A137E9">
              <w:rPr>
                <w:rStyle w:val="Hyperlink"/>
                <w:rFonts w:eastAsia="Times New Roman"/>
                <w:noProof/>
              </w:rPr>
              <w:t>Directives and Minimum Internal Control Standards</w:t>
            </w:r>
            <w:r w:rsidR="00CA50AA">
              <w:rPr>
                <w:noProof/>
                <w:webHidden/>
              </w:rPr>
              <w:tab/>
            </w:r>
            <w:r w:rsidR="00CA50AA">
              <w:rPr>
                <w:noProof/>
                <w:webHidden/>
              </w:rPr>
              <w:fldChar w:fldCharType="begin"/>
            </w:r>
            <w:r w:rsidR="00CA50AA">
              <w:rPr>
                <w:noProof/>
                <w:webHidden/>
              </w:rPr>
              <w:instrText xml:space="preserve"> PAGEREF _Toc103767111 \h </w:instrText>
            </w:r>
            <w:r w:rsidR="00CA50AA">
              <w:rPr>
                <w:noProof/>
                <w:webHidden/>
              </w:rPr>
            </w:r>
            <w:r w:rsidR="00CA50AA">
              <w:rPr>
                <w:noProof/>
                <w:webHidden/>
              </w:rPr>
              <w:fldChar w:fldCharType="separate"/>
            </w:r>
            <w:r w:rsidR="00FB2F60">
              <w:rPr>
                <w:noProof/>
                <w:webHidden/>
              </w:rPr>
              <w:t>15</w:t>
            </w:r>
            <w:r w:rsidR="00CA50AA">
              <w:rPr>
                <w:noProof/>
                <w:webHidden/>
              </w:rPr>
              <w:fldChar w:fldCharType="end"/>
            </w:r>
          </w:hyperlink>
        </w:p>
        <w:p w:rsidR="00CA50AA" w:rsidRDefault="00DE5F7A">
          <w:pPr>
            <w:pStyle w:val="TOC2"/>
            <w:tabs>
              <w:tab w:val="left" w:pos="660"/>
              <w:tab w:val="right" w:leader="dot" w:pos="9350"/>
            </w:tabs>
            <w:rPr>
              <w:rFonts w:eastAsiaTheme="minorEastAsia"/>
              <w:noProof/>
            </w:rPr>
          </w:pPr>
          <w:hyperlink w:anchor="_Toc103767112" w:history="1">
            <w:r w:rsidR="00CA50AA" w:rsidRPr="00A137E9">
              <w:rPr>
                <w:rStyle w:val="Hyperlink"/>
                <w:rFonts w:eastAsia="Times New Roman"/>
                <w:noProof/>
              </w:rPr>
              <w:t>E.</w:t>
            </w:r>
            <w:r w:rsidR="00CA50AA">
              <w:rPr>
                <w:rFonts w:eastAsiaTheme="minorEastAsia"/>
                <w:noProof/>
              </w:rPr>
              <w:tab/>
            </w:r>
            <w:r w:rsidR="00CA50AA" w:rsidRPr="00A137E9">
              <w:rPr>
                <w:rStyle w:val="Hyperlink"/>
                <w:rFonts w:eastAsia="Times New Roman"/>
                <w:noProof/>
              </w:rPr>
              <w:t>Seneca Nation Business Registration Fee (SNIBRF)</w:t>
            </w:r>
            <w:r w:rsidR="00CA50AA">
              <w:rPr>
                <w:noProof/>
                <w:webHidden/>
              </w:rPr>
              <w:tab/>
            </w:r>
            <w:r w:rsidR="00CA50AA">
              <w:rPr>
                <w:noProof/>
                <w:webHidden/>
              </w:rPr>
              <w:fldChar w:fldCharType="begin"/>
            </w:r>
            <w:r w:rsidR="00CA50AA">
              <w:rPr>
                <w:noProof/>
                <w:webHidden/>
              </w:rPr>
              <w:instrText xml:space="preserve"> PAGEREF _Toc103767112 \h </w:instrText>
            </w:r>
            <w:r w:rsidR="00CA50AA">
              <w:rPr>
                <w:noProof/>
                <w:webHidden/>
              </w:rPr>
            </w:r>
            <w:r w:rsidR="00CA50AA">
              <w:rPr>
                <w:noProof/>
                <w:webHidden/>
              </w:rPr>
              <w:fldChar w:fldCharType="separate"/>
            </w:r>
            <w:r w:rsidR="00FB2F60">
              <w:rPr>
                <w:noProof/>
                <w:webHidden/>
              </w:rPr>
              <w:t>15</w:t>
            </w:r>
            <w:r w:rsidR="00CA50AA">
              <w:rPr>
                <w:noProof/>
                <w:webHidden/>
              </w:rPr>
              <w:fldChar w:fldCharType="end"/>
            </w:r>
          </w:hyperlink>
        </w:p>
        <w:p w:rsidR="00CA50AA" w:rsidRDefault="00DE5F7A">
          <w:pPr>
            <w:pStyle w:val="TOC1"/>
            <w:tabs>
              <w:tab w:val="left" w:pos="660"/>
              <w:tab w:val="right" w:leader="dot" w:pos="9350"/>
            </w:tabs>
            <w:rPr>
              <w:rFonts w:eastAsiaTheme="minorEastAsia"/>
              <w:noProof/>
            </w:rPr>
          </w:pPr>
          <w:hyperlink w:anchor="_Toc103767113" w:history="1">
            <w:r w:rsidR="00CA50AA" w:rsidRPr="00A137E9">
              <w:rPr>
                <w:rStyle w:val="Hyperlink"/>
                <w:rFonts w:eastAsia="Times New Roman"/>
                <w:noProof/>
              </w:rPr>
              <w:t>VII.</w:t>
            </w:r>
            <w:r w:rsidR="00CA50AA">
              <w:rPr>
                <w:rFonts w:eastAsiaTheme="minorEastAsia"/>
                <w:noProof/>
              </w:rPr>
              <w:tab/>
            </w:r>
            <w:r w:rsidR="00CA50AA" w:rsidRPr="00A137E9">
              <w:rPr>
                <w:rStyle w:val="Hyperlink"/>
                <w:rFonts w:eastAsia="Times New Roman"/>
                <w:noProof/>
              </w:rPr>
              <w:t>Bidder Certifications and Representations</w:t>
            </w:r>
            <w:r w:rsidR="00CA50AA">
              <w:rPr>
                <w:noProof/>
                <w:webHidden/>
              </w:rPr>
              <w:tab/>
            </w:r>
            <w:r w:rsidR="00CA50AA">
              <w:rPr>
                <w:noProof/>
                <w:webHidden/>
              </w:rPr>
              <w:fldChar w:fldCharType="begin"/>
            </w:r>
            <w:r w:rsidR="00CA50AA">
              <w:rPr>
                <w:noProof/>
                <w:webHidden/>
              </w:rPr>
              <w:instrText xml:space="preserve"> PAGEREF _Toc103767113 \h </w:instrText>
            </w:r>
            <w:r w:rsidR="00CA50AA">
              <w:rPr>
                <w:noProof/>
                <w:webHidden/>
              </w:rPr>
            </w:r>
            <w:r w:rsidR="00CA50AA">
              <w:rPr>
                <w:noProof/>
                <w:webHidden/>
              </w:rPr>
              <w:fldChar w:fldCharType="separate"/>
            </w:r>
            <w:r w:rsidR="00FB2F60">
              <w:rPr>
                <w:noProof/>
                <w:webHidden/>
              </w:rPr>
              <w:t>16</w:t>
            </w:r>
            <w:r w:rsidR="00CA50AA">
              <w:rPr>
                <w:noProof/>
                <w:webHidden/>
              </w:rPr>
              <w:fldChar w:fldCharType="end"/>
            </w:r>
          </w:hyperlink>
        </w:p>
        <w:p w:rsidR="00E96538" w:rsidRPr="00CA50AA" w:rsidRDefault="00E96538" w:rsidP="00E96538">
          <w:pPr>
            <w:rPr>
              <w:b/>
              <w:bCs/>
              <w:noProof/>
            </w:rPr>
          </w:pPr>
          <w:r>
            <w:rPr>
              <w:b/>
              <w:bCs/>
              <w:noProof/>
            </w:rPr>
            <w:fldChar w:fldCharType="end"/>
          </w:r>
        </w:p>
      </w:sdtContent>
    </w:sdt>
    <w:p w:rsidR="00E96538" w:rsidRDefault="00E96538" w:rsidP="00E96538">
      <w:pPr>
        <w:pStyle w:val="Heading1"/>
      </w:pPr>
      <w:bookmarkStart w:id="0" w:name="_Toc103767083"/>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03767084"/>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B335C">
        <w:rPr>
          <w:rFonts w:eastAsia="Times New Roman" w:cstheme="minorHAnsi"/>
        </w:rPr>
        <w:t xml:space="preserve">partner to deliver a refresh of the </w:t>
      </w:r>
      <w:r w:rsidR="00AB335C">
        <w:t xml:space="preserve">compute and storage platform across Seneca Gaming Corporation’s four data centers. Proposals should include an Enterprise Network Attached Storage (NAS) file solution, migration services for SQL and fully support VMware hypervisor. </w:t>
      </w:r>
      <w:r w:rsidR="00AB335C">
        <w:rPr>
          <w:rFonts w:eastAsia="Times New Roman" w:cstheme="minorHAnsi"/>
        </w:rPr>
        <w:t xml:space="preserve"> Proposal should be submitted including three years’ maintenance, licensing and support with an additional two one year options to renew.</w:t>
      </w:r>
      <w:r w:rsidR="00CA50AA">
        <w:rPr>
          <w:rFonts w:eastAsia="Times New Roman" w:cstheme="minorHAnsi"/>
        </w:rPr>
        <w:t xml:space="preserve"> </w:t>
      </w:r>
      <w:r w:rsidR="00CA50AA" w:rsidRPr="00896A34">
        <w:rPr>
          <w:rFonts w:eastAsia="Times New Roman" w:cstheme="minorHAnsi"/>
        </w:rPr>
        <w:t xml:space="preserve">Please show annual maintenance cost for </w:t>
      </w:r>
      <w:r w:rsidR="00E906D4" w:rsidRPr="00896A34">
        <w:rPr>
          <w:rFonts w:eastAsia="Times New Roman" w:cstheme="minorHAnsi"/>
        </w:rPr>
        <w:t xml:space="preserve">all </w:t>
      </w:r>
      <w:r w:rsidR="00CA50AA" w:rsidRPr="00896A34">
        <w:rPr>
          <w:rFonts w:eastAsia="Times New Roman" w:cstheme="minorHAnsi"/>
        </w:rPr>
        <w:t xml:space="preserve">five (5) years. </w:t>
      </w:r>
    </w:p>
    <w:p w:rsidR="00E96538" w:rsidRDefault="00E96538" w:rsidP="00E96538">
      <w:pPr>
        <w:pStyle w:val="Heading1"/>
      </w:pPr>
      <w:bookmarkStart w:id="2" w:name="_Toc103767085"/>
      <w:r>
        <w:t>RFP Administrative Information</w:t>
      </w:r>
      <w:bookmarkEnd w:id="2"/>
    </w:p>
    <w:p w:rsidR="00E96538" w:rsidRDefault="00E96538" w:rsidP="00E96538">
      <w:pPr>
        <w:pStyle w:val="Heading2"/>
      </w:pPr>
      <w:bookmarkStart w:id="3" w:name="_Toc103767086"/>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EA7E75">
        <w:rPr>
          <w:sz w:val="24"/>
          <w:szCs w:val="24"/>
        </w:rPr>
        <w:t xml:space="preserve">Jason Romine </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EA7E75">
        <w:rPr>
          <w:sz w:val="24"/>
          <w:szCs w:val="24"/>
        </w:rPr>
        <w:t>jromine@senecacasinos.com</w:t>
      </w:r>
    </w:p>
    <w:p w:rsidR="00E96538" w:rsidRDefault="00E96538" w:rsidP="00E96538">
      <w:pPr>
        <w:pStyle w:val="Heading2"/>
      </w:pPr>
      <w:bookmarkStart w:id="4" w:name="_Toc103767087"/>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E249E4">
        <w:rPr>
          <w:sz w:val="24"/>
          <w:szCs w:val="24"/>
        </w:rPr>
        <w:t>May 24</w:t>
      </w:r>
      <w:bookmarkStart w:id="5" w:name="_GoBack"/>
      <w:bookmarkEnd w:id="5"/>
      <w:r w:rsidR="00B96925">
        <w:rPr>
          <w:sz w:val="24"/>
          <w:szCs w:val="24"/>
        </w:rPr>
        <w:t>, 2022</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E93229">
        <w:rPr>
          <w:sz w:val="24"/>
          <w:szCs w:val="24"/>
        </w:rPr>
        <w:t>June 10</w:t>
      </w:r>
      <w:r w:rsidR="00B96925">
        <w:rPr>
          <w:sz w:val="24"/>
          <w:szCs w:val="24"/>
        </w:rPr>
        <w:t>, 2022</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E93229">
        <w:rPr>
          <w:b/>
          <w:sz w:val="24"/>
          <w:szCs w:val="24"/>
        </w:rPr>
        <w:t>Friday, June 29</w:t>
      </w:r>
      <w:r w:rsidR="00B96925">
        <w:rPr>
          <w:b/>
          <w:sz w:val="24"/>
          <w:szCs w:val="24"/>
        </w:rPr>
        <w:t>, 2022</w:t>
      </w:r>
      <w:r w:rsidR="00EA7E75">
        <w:rPr>
          <w:b/>
          <w:sz w:val="24"/>
          <w:szCs w:val="24"/>
        </w:rPr>
        <w:t xml:space="preserve"> </w:t>
      </w:r>
      <w:r w:rsidRPr="00AB31A0">
        <w:rPr>
          <w:b/>
          <w:sz w:val="24"/>
          <w:szCs w:val="24"/>
        </w:rPr>
        <w:t>by 5:00 PM Eastern Time</w:t>
      </w:r>
    </w:p>
    <w:p w:rsidR="00E96538" w:rsidRDefault="00E96538" w:rsidP="00E96538">
      <w:pPr>
        <w:pStyle w:val="Heading2"/>
        <w:rPr>
          <w:rFonts w:eastAsia="Times New Roman"/>
        </w:rPr>
      </w:pPr>
      <w:bookmarkStart w:id="6" w:name="_Toc103767088"/>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03767089"/>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03767090"/>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w:t>
      </w:r>
      <w:proofErr w:type="gramStart"/>
      <w:r>
        <w:rPr>
          <w:rFonts w:eastAsia="Times New Roman" w:cstheme="minorHAnsi"/>
        </w:rPr>
        <w:t>encourage</w:t>
      </w:r>
      <w:proofErr w:type="gramEnd"/>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D62B86" w:rsidRDefault="00D62B86" w:rsidP="00D62B86">
      <w:pPr>
        <w:pStyle w:val="Heading2"/>
        <w:rPr>
          <w:rFonts w:eastAsia="Times New Roman"/>
        </w:rPr>
      </w:pPr>
      <w:bookmarkStart w:id="10" w:name="_Toc17988928"/>
      <w:bookmarkStart w:id="11" w:name="_Toc103767091"/>
      <w:r w:rsidRPr="00560E5F">
        <w:rPr>
          <w:rFonts w:eastAsia="Times New Roman"/>
        </w:rPr>
        <w:t>Non-disclosure Agreement</w:t>
      </w:r>
      <w:bookmarkEnd w:id="10"/>
      <w:bookmarkEnd w:id="11"/>
      <w:r>
        <w:rPr>
          <w:rFonts w:eastAsia="Times New Roman"/>
        </w:rPr>
        <w:t xml:space="preserve"> </w:t>
      </w:r>
    </w:p>
    <w:p w:rsidR="00D62B86" w:rsidRPr="00D62B86" w:rsidRDefault="00D62B86" w:rsidP="00D62B86">
      <w:pPr>
        <w:spacing w:after="120" w:line="240" w:lineRule="auto"/>
        <w:ind w:left="1440"/>
        <w:jc w:val="both"/>
        <w:rPr>
          <w:rFonts w:eastAsia="Times New Roman" w:cstheme="minorHAnsi"/>
          <w:sz w:val="24"/>
          <w:szCs w:val="24"/>
        </w:rPr>
      </w:pPr>
      <w:r w:rsidRPr="00D62B86">
        <w:rPr>
          <w:rFonts w:eastAsia="Times New Roman" w:cstheme="minorHAnsi"/>
        </w:rPr>
        <w:t>Prior to receiving specific information necessary to submit a bid, Potential Bidders must sign a non-disclosure undertaking in the form attached hereto.</w:t>
      </w:r>
    </w:p>
    <w:p w:rsidR="00834241" w:rsidRDefault="00834241" w:rsidP="00834241">
      <w:pPr>
        <w:pStyle w:val="Heading2"/>
        <w:rPr>
          <w:rFonts w:eastAsia="Times New Roman"/>
        </w:rPr>
      </w:pPr>
      <w:bookmarkStart w:id="12" w:name="_Toc17728972"/>
      <w:bookmarkStart w:id="13" w:name="_Toc103767092"/>
      <w:r w:rsidRPr="00EE18DD">
        <w:rPr>
          <w:rFonts w:eastAsia="Times New Roman"/>
        </w:rPr>
        <w:t>Proposal Format</w:t>
      </w:r>
      <w:bookmarkEnd w:id="12"/>
      <w:bookmarkEnd w:id="13"/>
    </w:p>
    <w:p w:rsidR="00834241" w:rsidRPr="00A663CB" w:rsidRDefault="00834241" w:rsidP="00834241">
      <w:pPr>
        <w:ind w:left="720" w:firstLine="720"/>
        <w:rPr>
          <w:rFonts w:eastAsia="Times New Roman" w:cstheme="minorHAnsi"/>
          <w:b/>
        </w:rPr>
      </w:pPr>
      <w:r w:rsidRPr="00A663CB">
        <w:rPr>
          <w:rFonts w:eastAsia="Times New Roman" w:cstheme="minorHAnsi"/>
          <w:b/>
        </w:rPr>
        <w:t>Bidder proposals must conform to the following proposal format: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 xml:space="preserve">Include complete responses to all requirements outlined in the Requirements Specification section of this RFP. Reponses are to follow the outline of the Requirements </w:t>
      </w:r>
      <w:r>
        <w:lastRenderedPageBreak/>
        <w:t>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 xml:space="preserve">SGC’s Risk Management Department has discretion to increase, decrease, or dispense with insurance in appropriate cases. They may, in addition to or instead of insurance, </w:t>
      </w:r>
      <w:r w:rsidRPr="00281D20">
        <w:lastRenderedPageBreak/>
        <w:t>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4" w:name="_Toc103767093"/>
      <w:r w:rsidRPr="00325DC1">
        <w:rPr>
          <w:rFonts w:eastAsia="Times New Roman"/>
        </w:rPr>
        <w:t>Propo</w:t>
      </w:r>
      <w:r>
        <w:rPr>
          <w:rFonts w:eastAsia="Times New Roman"/>
        </w:rPr>
        <w:t>sal Evaluation/Vendor Selection</w:t>
      </w:r>
      <w:bookmarkEnd w:id="14"/>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5" w:name="_Toc103767094"/>
      <w:r>
        <w:rPr>
          <w:rFonts w:eastAsia="Times New Roman"/>
        </w:rPr>
        <w:t>General Bidder Information</w:t>
      </w:r>
      <w:bookmarkEnd w:id="15"/>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lastRenderedPageBreak/>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6" w:name="_Toc103767095"/>
      <w:r w:rsidRPr="00961C9F">
        <w:rPr>
          <w:rFonts w:eastAsia="Times New Roman"/>
        </w:rPr>
        <w:t>SGC Standard Terms and Conditions</w:t>
      </w:r>
      <w:bookmarkEnd w:id="16"/>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7" w:name="_Toc103767096"/>
      <w:r w:rsidRPr="00D059D0">
        <w:rPr>
          <w:rFonts w:eastAsia="Times New Roman"/>
        </w:rPr>
        <w:t>Provisions Applicable to the Contract</w:t>
      </w:r>
      <w:bookmarkEnd w:id="17"/>
    </w:p>
    <w:p w:rsidR="00E96538" w:rsidRDefault="00E96538" w:rsidP="00E96538">
      <w:pPr>
        <w:pStyle w:val="Heading2"/>
        <w:rPr>
          <w:rFonts w:eastAsia="Times New Roman"/>
        </w:rPr>
      </w:pPr>
      <w:bookmarkStart w:id="18" w:name="_Toc103767097"/>
      <w:r>
        <w:rPr>
          <w:rFonts w:eastAsia="Times New Roman"/>
        </w:rPr>
        <w:t>Agreement Term</w:t>
      </w:r>
      <w:bookmarkEnd w:id="18"/>
    </w:p>
    <w:p w:rsidR="00E96538" w:rsidRPr="00EA5550" w:rsidRDefault="00E96538" w:rsidP="00E96538">
      <w:pPr>
        <w:spacing w:after="0"/>
        <w:ind w:left="1440"/>
        <w:jc w:val="both"/>
      </w:pPr>
      <w:r w:rsidRPr="00EA5550">
        <w:t xml:space="preserve">The initial term of the contract will be </w:t>
      </w:r>
      <w:r w:rsidR="00AB335C">
        <w:t>3 years</w:t>
      </w:r>
      <w:r w:rsidRPr="00EA5550">
        <w:t xml:space="preserve">, with </w:t>
      </w:r>
      <w:r w:rsidR="00AB335C">
        <w:t xml:space="preserve">2 </w:t>
      </w:r>
      <w:r w:rsidRPr="00EA5550">
        <w:t xml:space="preserve">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9" w:name="_Toc103767098"/>
      <w:r>
        <w:t>Requirements</w:t>
      </w:r>
      <w:r w:rsidR="004D32F5">
        <w:t xml:space="preserve"> Specification</w:t>
      </w:r>
      <w:bookmarkEnd w:id="19"/>
    </w:p>
    <w:p w:rsidR="00AB335C" w:rsidRPr="00AB335C" w:rsidRDefault="00AB335C" w:rsidP="00AB335C">
      <w:pPr>
        <w:ind w:left="1440"/>
      </w:pPr>
      <w:r w:rsidRPr="00AB335C">
        <w:t xml:space="preserve">Seneca Gaming Corp utilizes four data centers across its enterprise. Seneca Niagara Casino (SNC) and Seneca Office Building (SOB) operate in a dual datacenter configuration with 160GB dark fiber between them. These datacenters are used in a VMware Metro Cluster with storage peer persistence for a fully HA active/active configuration whereas all data is replicated between the two sites. Seneca Buffalo </w:t>
      </w:r>
      <w:r w:rsidRPr="00AB335C">
        <w:lastRenderedPageBreak/>
        <w:t>Casino (SBC) and Seneca Allegany Casino (SAC) data centers are part of the corporate domain and provide file, SQL and other services needed on their site LAN.</w:t>
      </w:r>
    </w:p>
    <w:p w:rsidR="00AB335C" w:rsidRPr="00AB335C" w:rsidRDefault="00AB335C" w:rsidP="00AB335C">
      <w:pPr>
        <w:numPr>
          <w:ilvl w:val="0"/>
          <w:numId w:val="12"/>
        </w:numPr>
        <w:ind w:left="2160"/>
        <w:contextualSpacing/>
      </w:pPr>
      <w:r w:rsidRPr="00AB335C">
        <w:t>Three campus locations (Buffalo, Niagara Falls, Allegany) with four data centers.</w:t>
      </w:r>
    </w:p>
    <w:p w:rsidR="00AB335C" w:rsidRPr="00AB335C" w:rsidRDefault="00AB335C" w:rsidP="00AB335C">
      <w:pPr>
        <w:numPr>
          <w:ilvl w:val="0"/>
          <w:numId w:val="12"/>
        </w:numPr>
        <w:ind w:left="2160"/>
        <w:contextualSpacing/>
      </w:pPr>
      <w:r w:rsidRPr="00AB335C">
        <w:t>Niagara Falls central location for majority of applications and houses two data centers.</w:t>
      </w:r>
    </w:p>
    <w:p w:rsidR="00AB335C" w:rsidRPr="00AB335C" w:rsidRDefault="00AB335C" w:rsidP="00AB335C">
      <w:pPr>
        <w:numPr>
          <w:ilvl w:val="0"/>
          <w:numId w:val="12"/>
        </w:numPr>
        <w:ind w:left="2160"/>
        <w:contextualSpacing/>
      </w:pPr>
      <w:r w:rsidRPr="00AB335C">
        <w:t>Buffalo and Allegany have smaller deployments to accommodate for local requirements.</w:t>
      </w:r>
    </w:p>
    <w:p w:rsidR="00AB335C" w:rsidRPr="00AB335C" w:rsidRDefault="00AB335C" w:rsidP="00AB335C">
      <w:pPr>
        <w:numPr>
          <w:ilvl w:val="0"/>
          <w:numId w:val="12"/>
        </w:numPr>
        <w:ind w:left="2160"/>
        <w:contextualSpacing/>
      </w:pPr>
      <w:r w:rsidRPr="00AB335C">
        <w:t>Deployment strategy: Niagara Falls Campus FY2023, Buffalo and Allegany FY2024.</w:t>
      </w:r>
    </w:p>
    <w:p w:rsidR="00AB335C" w:rsidRPr="00AB335C" w:rsidRDefault="00AB335C" w:rsidP="00AB335C">
      <w:pPr>
        <w:ind w:left="1440"/>
        <w:rPr>
          <w:b/>
          <w:u w:val="single"/>
        </w:rPr>
      </w:pPr>
      <w:r w:rsidRPr="00AB335C">
        <w:rPr>
          <w:b/>
          <w:u w:val="single"/>
        </w:rPr>
        <w:t>EXISITING IT ENVIRONMENT (NIAGARA FALLS)</w:t>
      </w:r>
    </w:p>
    <w:p w:rsidR="00AB335C" w:rsidRPr="00AB335C" w:rsidRDefault="00AB335C" w:rsidP="00AB335C">
      <w:pPr>
        <w:numPr>
          <w:ilvl w:val="0"/>
          <w:numId w:val="11"/>
        </w:numPr>
        <w:ind w:left="2160"/>
        <w:contextualSpacing/>
      </w:pPr>
      <w:r w:rsidRPr="00AB335C">
        <w:t>One campus with two data centers</w:t>
      </w:r>
      <w:r>
        <w:t xml:space="preserve"> (SOB/SNC)</w:t>
      </w:r>
      <w:r w:rsidRPr="00AB335C">
        <w:t xml:space="preserve"> configured in a VMWare High Availability Metro Cluster environment. (Active-Active)</w:t>
      </w:r>
    </w:p>
    <w:p w:rsidR="00AB335C" w:rsidRPr="00AB335C" w:rsidRDefault="00AB335C" w:rsidP="00AB335C">
      <w:pPr>
        <w:numPr>
          <w:ilvl w:val="0"/>
          <w:numId w:val="11"/>
        </w:numPr>
        <w:ind w:left="2160"/>
        <w:contextualSpacing/>
      </w:pPr>
      <w:r w:rsidRPr="00AB335C">
        <w:t>Connection between data centers is via dark fiber at 160Gb.</w:t>
      </w:r>
    </w:p>
    <w:tbl>
      <w:tblPr>
        <w:tblStyle w:val="TableGrid"/>
        <w:tblW w:w="0" w:type="auto"/>
        <w:jc w:val="center"/>
        <w:tblLook w:val="04A0" w:firstRow="1" w:lastRow="0" w:firstColumn="1" w:lastColumn="0" w:noHBand="0" w:noVBand="1"/>
      </w:tblPr>
      <w:tblGrid>
        <w:gridCol w:w="3971"/>
        <w:gridCol w:w="3869"/>
      </w:tblGrid>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Storage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Data Structure</w:t>
            </w:r>
          </w:p>
        </w:tc>
      </w:tr>
      <w:tr w:rsidR="00AB335C" w:rsidRPr="00AB335C" w:rsidTr="00AB335C">
        <w:trPr>
          <w:trHeight w:val="2155"/>
          <w:jc w:val="center"/>
        </w:trPr>
        <w:tc>
          <w:tcPr>
            <w:tcW w:w="3971"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proofErr w:type="spellStart"/>
            <w:r w:rsidRPr="00AB335C">
              <w:rPr>
                <w:rFonts w:ascii="Arial" w:eastAsia="Times New Roman" w:hAnsi="Arial" w:cs="Arial"/>
                <w:color w:val="808080" w:themeColor="background1" w:themeShade="80"/>
                <w:sz w:val="20"/>
                <w:szCs w:val="20"/>
              </w:rPr>
              <w:t>HPe</w:t>
            </w:r>
            <w:proofErr w:type="spellEnd"/>
            <w:r w:rsidRPr="00AB335C">
              <w:rPr>
                <w:rFonts w:ascii="Arial" w:eastAsia="Times New Roman" w:hAnsi="Arial" w:cs="Arial"/>
                <w:color w:val="808080" w:themeColor="background1" w:themeShade="80"/>
                <w:sz w:val="20"/>
                <w:szCs w:val="20"/>
              </w:rPr>
              <w:t xml:space="preserve"> 3PAR 8440 (185Tb RAW)</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proofErr w:type="spellStart"/>
            <w:r w:rsidRPr="00AB335C">
              <w:rPr>
                <w:rFonts w:ascii="Arial" w:eastAsia="Times New Roman" w:hAnsi="Arial" w:cs="Arial"/>
                <w:color w:val="808080" w:themeColor="background1" w:themeShade="80"/>
                <w:sz w:val="20"/>
                <w:szCs w:val="20"/>
              </w:rPr>
              <w:t>HPe</w:t>
            </w:r>
            <w:proofErr w:type="spellEnd"/>
            <w:r w:rsidRPr="00AB335C">
              <w:rPr>
                <w:rFonts w:ascii="Arial" w:eastAsia="Times New Roman" w:hAnsi="Arial" w:cs="Arial"/>
                <w:color w:val="808080" w:themeColor="background1" w:themeShade="80"/>
                <w:sz w:val="20"/>
                <w:szCs w:val="20"/>
              </w:rPr>
              <w:t xml:space="preserve"> 3PAR 8440 (185Tb RAW)</w:t>
            </w:r>
          </w:p>
          <w:p w:rsidR="00AB335C" w:rsidRPr="00AB335C" w:rsidRDefault="00AB335C" w:rsidP="00AB335C">
            <w:pPr>
              <w:spacing w:before="240" w:after="240"/>
              <w:ind w:left="7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Data synchronized via </w:t>
            </w:r>
            <w:proofErr w:type="spellStart"/>
            <w:r w:rsidRPr="00AB335C">
              <w:rPr>
                <w:rFonts w:ascii="Arial" w:eastAsia="Times New Roman" w:hAnsi="Arial" w:cs="Arial"/>
                <w:color w:val="808080" w:themeColor="background1" w:themeShade="80"/>
                <w:sz w:val="20"/>
                <w:szCs w:val="20"/>
              </w:rPr>
              <w:t>HPe</w:t>
            </w:r>
            <w:proofErr w:type="spellEnd"/>
            <w:r w:rsidRPr="00AB335C">
              <w:rPr>
                <w:rFonts w:ascii="Arial" w:eastAsia="Times New Roman" w:hAnsi="Arial" w:cs="Arial"/>
                <w:color w:val="808080" w:themeColor="background1" w:themeShade="80"/>
                <w:sz w:val="20"/>
                <w:szCs w:val="20"/>
              </w:rPr>
              <w:t xml:space="preserve"> Peer Persistent technology</w:t>
            </w:r>
          </w:p>
        </w:tc>
        <w:tc>
          <w:tcPr>
            <w:tcW w:w="3869"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65Tb File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18Tb Email</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25Tb SQL</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60Tb Applications</w:t>
            </w:r>
          </w:p>
        </w:tc>
      </w:tr>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Compute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Hardware Spec</w:t>
            </w:r>
          </w:p>
        </w:tc>
      </w:tr>
      <w:tr w:rsidR="00AB335C" w:rsidRPr="00AB335C" w:rsidTr="00AB335C">
        <w:trPr>
          <w:trHeight w:val="3122"/>
          <w:jc w:val="center"/>
        </w:trPr>
        <w:tc>
          <w:tcPr>
            <w:tcW w:w="3971"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Cisco Unified Computing System (11 UCS Blades)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Cisco Unified Computing System (11 UCS Blades)</w:t>
            </w:r>
          </w:p>
          <w:p w:rsidR="00AB335C" w:rsidRPr="00AB335C" w:rsidRDefault="00AB335C" w:rsidP="00AB335C">
            <w:pPr>
              <w:spacing w:before="240" w:after="240"/>
              <w:rPr>
                <w:rFonts w:ascii="Arial" w:eastAsia="Times New Roman" w:hAnsi="Arial" w:cs="Arial"/>
                <w:color w:val="808080" w:themeColor="background1" w:themeShade="80"/>
                <w:sz w:val="20"/>
                <w:szCs w:val="20"/>
              </w:rPr>
            </w:pPr>
          </w:p>
        </w:tc>
        <w:tc>
          <w:tcPr>
            <w:tcW w:w="3869"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UCSB-B200-M4</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Intel Xeon E5-3670 v3 2.3 </w:t>
            </w:r>
            <w:proofErr w:type="spellStart"/>
            <w:r w:rsidRPr="00AB335C">
              <w:rPr>
                <w:rFonts w:ascii="Arial" w:eastAsia="Times New Roman" w:hAnsi="Arial" w:cs="Arial"/>
                <w:color w:val="808080" w:themeColor="background1" w:themeShade="80"/>
                <w:sz w:val="20"/>
                <w:szCs w:val="20"/>
              </w:rPr>
              <w:t>Ghz</w:t>
            </w:r>
            <w:proofErr w:type="spellEnd"/>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 CPU per Blade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 Cores Per CPU</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14 Blades w/ 384Gb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8 Blades w/ 512Gb RAM</w:t>
            </w:r>
          </w:p>
        </w:tc>
      </w:tr>
      <w:tr w:rsidR="00AB335C" w:rsidRPr="00AB335C" w:rsidTr="00AB335C">
        <w:trPr>
          <w:trHeight w:val="526"/>
          <w:jc w:val="center"/>
        </w:trPr>
        <w:tc>
          <w:tcPr>
            <w:tcW w:w="3971"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Overall Solution (combined both SNC and SOB Datacenters)</w:t>
            </w:r>
          </w:p>
        </w:tc>
        <w:tc>
          <w:tcPr>
            <w:tcW w:w="3869"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2155"/>
          <w:jc w:val="center"/>
        </w:trPr>
        <w:tc>
          <w:tcPr>
            <w:tcW w:w="3971"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lastRenderedPageBreak/>
              <w:t>370Tb RAW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280Tb Usable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225Tb Used VM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528 Total Number of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873 Allocated vCPUs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250 Virtual Machines</w:t>
            </w:r>
          </w:p>
        </w:tc>
        <w:tc>
          <w:tcPr>
            <w:tcW w:w="3869"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55.2 (GHz) CPU per Node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1.20 (</w:t>
            </w:r>
            <w:proofErr w:type="spellStart"/>
            <w:r w:rsidRPr="00AB335C">
              <w:rPr>
                <w:rFonts w:ascii="Arial" w:eastAsia="Times New Roman" w:hAnsi="Arial" w:cs="Arial"/>
                <w:color w:val="808080" w:themeColor="background1" w:themeShade="80"/>
                <w:sz w:val="20"/>
                <w:szCs w:val="20"/>
              </w:rPr>
              <w:t>Thz</w:t>
            </w:r>
            <w:proofErr w:type="spellEnd"/>
            <w:r w:rsidRPr="00AB335C">
              <w:rPr>
                <w:rFonts w:ascii="Arial" w:eastAsia="Times New Roman" w:hAnsi="Arial" w:cs="Arial"/>
                <w:color w:val="808080" w:themeColor="background1" w:themeShade="80"/>
                <w:sz w:val="20"/>
                <w:szCs w:val="20"/>
              </w:rPr>
              <w:t>) CPU per Data Center</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250 (GHz) CPU Total Peak</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9.25Tb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3.50Tb Peak Memory Usage</w:t>
            </w:r>
          </w:p>
        </w:tc>
      </w:tr>
    </w:tbl>
    <w:p w:rsidR="00AB335C" w:rsidRPr="00AB335C" w:rsidRDefault="00AB335C" w:rsidP="00AB335C">
      <w:pPr>
        <w:rPr>
          <w:b/>
          <w:u w:val="single"/>
        </w:rPr>
      </w:pPr>
    </w:p>
    <w:p w:rsidR="00AB335C" w:rsidRPr="00AB335C" w:rsidRDefault="00AB335C" w:rsidP="00AB335C">
      <w:pPr>
        <w:ind w:left="1440"/>
        <w:rPr>
          <w:b/>
          <w:u w:val="single"/>
        </w:rPr>
      </w:pPr>
      <w:r w:rsidRPr="00AB335C">
        <w:rPr>
          <w:b/>
          <w:u w:val="single"/>
        </w:rPr>
        <w:t>EXISITING IT ENVIRONMENT (ALLEGANY)</w:t>
      </w:r>
    </w:p>
    <w:p w:rsidR="00AB335C" w:rsidRPr="00AB335C" w:rsidRDefault="00AB335C" w:rsidP="00AB335C">
      <w:pPr>
        <w:numPr>
          <w:ilvl w:val="0"/>
          <w:numId w:val="11"/>
        </w:numPr>
        <w:ind w:left="2160"/>
        <w:contextualSpacing/>
      </w:pPr>
      <w:r w:rsidRPr="00AB335C">
        <w:t xml:space="preserve">One campus with a data center </w:t>
      </w:r>
      <w:r>
        <w:t xml:space="preserve">(SAC) </w:t>
      </w:r>
      <w:r w:rsidRPr="00AB335C">
        <w:t xml:space="preserve">configured in a VMWare High Availability Cluster environment. </w:t>
      </w:r>
    </w:p>
    <w:tbl>
      <w:tblPr>
        <w:tblStyle w:val="TableGrid"/>
        <w:tblW w:w="0" w:type="auto"/>
        <w:jc w:val="center"/>
        <w:tblLook w:val="04A0" w:firstRow="1" w:lastRow="0" w:firstColumn="1" w:lastColumn="0" w:noHBand="0" w:noVBand="1"/>
      </w:tblPr>
      <w:tblGrid>
        <w:gridCol w:w="3971"/>
        <w:gridCol w:w="3869"/>
      </w:tblGrid>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Storage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Data Structure</w:t>
            </w:r>
          </w:p>
        </w:tc>
      </w:tr>
      <w:tr w:rsidR="00AB335C" w:rsidRPr="00AB335C" w:rsidTr="00AB335C">
        <w:trPr>
          <w:trHeight w:val="1241"/>
          <w:jc w:val="center"/>
        </w:trPr>
        <w:tc>
          <w:tcPr>
            <w:tcW w:w="3971"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proofErr w:type="spellStart"/>
            <w:r w:rsidRPr="00AB335C">
              <w:rPr>
                <w:rFonts w:ascii="Arial" w:eastAsia="Times New Roman" w:hAnsi="Arial" w:cs="Arial"/>
                <w:color w:val="808080" w:themeColor="background1" w:themeShade="80"/>
                <w:sz w:val="20"/>
                <w:szCs w:val="20"/>
              </w:rPr>
              <w:t>HPe</w:t>
            </w:r>
            <w:proofErr w:type="spellEnd"/>
            <w:r w:rsidRPr="00AB335C">
              <w:rPr>
                <w:rFonts w:ascii="Arial" w:eastAsia="Times New Roman" w:hAnsi="Arial" w:cs="Arial"/>
                <w:color w:val="808080" w:themeColor="background1" w:themeShade="80"/>
                <w:sz w:val="20"/>
                <w:szCs w:val="20"/>
              </w:rPr>
              <w:t xml:space="preserve"> 3PAR 8200 (46Tb RAW)</w:t>
            </w:r>
          </w:p>
        </w:tc>
        <w:tc>
          <w:tcPr>
            <w:tcW w:w="3869"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5.6Tb File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16Tb Applications</w:t>
            </w:r>
          </w:p>
        </w:tc>
      </w:tr>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Compute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Hardware Spec</w:t>
            </w:r>
          </w:p>
        </w:tc>
      </w:tr>
      <w:tr w:rsidR="00AB335C" w:rsidRPr="00AB335C" w:rsidTr="00AB335C">
        <w:trPr>
          <w:trHeight w:val="2699"/>
          <w:jc w:val="center"/>
        </w:trPr>
        <w:tc>
          <w:tcPr>
            <w:tcW w:w="3971"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Cisco Unified Computing System (5 UCS Blades) </w:t>
            </w:r>
          </w:p>
        </w:tc>
        <w:tc>
          <w:tcPr>
            <w:tcW w:w="3869"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UCSB-B200-M4</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Intel Xeon E5-3670 v3 2.3 </w:t>
            </w:r>
            <w:proofErr w:type="spellStart"/>
            <w:r w:rsidRPr="00AB335C">
              <w:rPr>
                <w:rFonts w:ascii="Arial" w:eastAsia="Times New Roman" w:hAnsi="Arial" w:cs="Arial"/>
                <w:color w:val="808080" w:themeColor="background1" w:themeShade="80"/>
                <w:sz w:val="20"/>
                <w:szCs w:val="20"/>
              </w:rPr>
              <w:t>Ghz</w:t>
            </w:r>
            <w:proofErr w:type="spellEnd"/>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 CPU per Blade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 Cores Per CPU</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 Blades w/ 256Gb RAM</w:t>
            </w:r>
          </w:p>
        </w:tc>
      </w:tr>
      <w:tr w:rsidR="00AB335C" w:rsidRPr="00AB335C" w:rsidTr="00AB335C">
        <w:trPr>
          <w:trHeight w:val="526"/>
          <w:jc w:val="center"/>
        </w:trPr>
        <w:tc>
          <w:tcPr>
            <w:tcW w:w="3971"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Overall Solution</w:t>
            </w:r>
          </w:p>
        </w:tc>
        <w:tc>
          <w:tcPr>
            <w:tcW w:w="3869"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2155"/>
          <w:jc w:val="center"/>
        </w:trPr>
        <w:tc>
          <w:tcPr>
            <w:tcW w:w="3971"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46Tb RAW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25Tb Usable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15.5Tb Used VM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120 Total Number of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128 Allocated vCPUs</w:t>
            </w:r>
          </w:p>
        </w:tc>
        <w:tc>
          <w:tcPr>
            <w:tcW w:w="3869"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55.2 (GHz) CPU per Node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275 (GHz) CPU per Data Center</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 GHz Total Peak CPU</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1.25Tb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450Gb Peak Memory Usage</w:t>
            </w:r>
          </w:p>
        </w:tc>
      </w:tr>
    </w:tbl>
    <w:p w:rsidR="00AB335C" w:rsidRPr="00AB335C" w:rsidRDefault="00AB335C" w:rsidP="00AB335C">
      <w:pPr>
        <w:ind w:left="1440"/>
      </w:pPr>
    </w:p>
    <w:p w:rsidR="00AB335C" w:rsidRPr="00AB335C" w:rsidRDefault="00AB335C" w:rsidP="00AB335C">
      <w:pPr>
        <w:ind w:left="1440"/>
        <w:rPr>
          <w:b/>
          <w:u w:val="single"/>
        </w:rPr>
      </w:pPr>
      <w:r w:rsidRPr="00AB335C">
        <w:rPr>
          <w:b/>
          <w:u w:val="single"/>
        </w:rPr>
        <w:t>EXISITING IT ENVIRONMENT (BUFFALO)</w:t>
      </w:r>
    </w:p>
    <w:p w:rsidR="00AB335C" w:rsidRPr="00AB335C" w:rsidRDefault="00AB335C" w:rsidP="00AB335C">
      <w:pPr>
        <w:numPr>
          <w:ilvl w:val="0"/>
          <w:numId w:val="11"/>
        </w:numPr>
        <w:ind w:left="2160"/>
        <w:contextualSpacing/>
      </w:pPr>
      <w:r w:rsidRPr="00AB335C">
        <w:t xml:space="preserve">One campus with a data center </w:t>
      </w:r>
      <w:r>
        <w:t xml:space="preserve">(SBC) </w:t>
      </w:r>
      <w:r w:rsidRPr="00AB335C">
        <w:t xml:space="preserve">configured in a VMWare High Availability Cluster environment. </w:t>
      </w:r>
    </w:p>
    <w:tbl>
      <w:tblPr>
        <w:tblStyle w:val="TableGrid"/>
        <w:tblW w:w="0" w:type="auto"/>
        <w:jc w:val="center"/>
        <w:tblLook w:val="04A0" w:firstRow="1" w:lastRow="0" w:firstColumn="1" w:lastColumn="0" w:noHBand="0" w:noVBand="1"/>
      </w:tblPr>
      <w:tblGrid>
        <w:gridCol w:w="3971"/>
        <w:gridCol w:w="3869"/>
      </w:tblGrid>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Storage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Data Structure</w:t>
            </w:r>
          </w:p>
        </w:tc>
      </w:tr>
      <w:tr w:rsidR="00AB335C" w:rsidRPr="00AB335C" w:rsidTr="00AB335C">
        <w:trPr>
          <w:trHeight w:val="1241"/>
          <w:jc w:val="center"/>
        </w:trPr>
        <w:tc>
          <w:tcPr>
            <w:tcW w:w="3971"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proofErr w:type="spellStart"/>
            <w:r w:rsidRPr="00AB335C">
              <w:rPr>
                <w:rFonts w:ascii="Arial" w:eastAsia="Times New Roman" w:hAnsi="Arial" w:cs="Arial"/>
                <w:color w:val="808080" w:themeColor="background1" w:themeShade="80"/>
                <w:sz w:val="20"/>
                <w:szCs w:val="20"/>
              </w:rPr>
              <w:t>HPe</w:t>
            </w:r>
            <w:proofErr w:type="spellEnd"/>
            <w:r w:rsidRPr="00AB335C">
              <w:rPr>
                <w:rFonts w:ascii="Arial" w:eastAsia="Times New Roman" w:hAnsi="Arial" w:cs="Arial"/>
                <w:color w:val="808080" w:themeColor="background1" w:themeShade="80"/>
                <w:sz w:val="20"/>
                <w:szCs w:val="20"/>
              </w:rPr>
              <w:t xml:space="preserve"> 3PAR 8200 (8Tb RAW)</w:t>
            </w:r>
          </w:p>
        </w:tc>
        <w:tc>
          <w:tcPr>
            <w:tcW w:w="3869" w:type="dxa"/>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1.5Tb File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5.5Tb Applications</w:t>
            </w:r>
          </w:p>
        </w:tc>
      </w:tr>
      <w:tr w:rsidR="00AB335C" w:rsidRPr="00AB335C" w:rsidTr="00AB335C">
        <w:trPr>
          <w:trHeight w:val="526"/>
          <w:jc w:val="center"/>
        </w:trPr>
        <w:tc>
          <w:tcPr>
            <w:tcW w:w="3971"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Compute Solution</w:t>
            </w:r>
          </w:p>
        </w:tc>
        <w:tc>
          <w:tcPr>
            <w:tcW w:w="3869" w:type="dxa"/>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Hardware Spec</w:t>
            </w:r>
          </w:p>
        </w:tc>
      </w:tr>
      <w:tr w:rsidR="00AB335C" w:rsidRPr="00AB335C" w:rsidTr="00AB335C">
        <w:trPr>
          <w:trHeight w:val="2699"/>
          <w:jc w:val="center"/>
        </w:trPr>
        <w:tc>
          <w:tcPr>
            <w:tcW w:w="3971"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Cisco Unified Computing System (4 UCS Blades) </w:t>
            </w:r>
          </w:p>
        </w:tc>
        <w:tc>
          <w:tcPr>
            <w:tcW w:w="3869" w:type="dxa"/>
            <w:tcBorders>
              <w:bottom w:val="single" w:sz="4" w:space="0" w:color="auto"/>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UCSB-B200-M4</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 xml:space="preserve">Intel Xeon E5-3670 v3 2.3 </w:t>
            </w:r>
            <w:proofErr w:type="spellStart"/>
            <w:r w:rsidRPr="00AB335C">
              <w:rPr>
                <w:rFonts w:ascii="Arial" w:eastAsia="Times New Roman" w:hAnsi="Arial" w:cs="Arial"/>
                <w:color w:val="808080" w:themeColor="background1" w:themeShade="80"/>
                <w:sz w:val="20"/>
                <w:szCs w:val="20"/>
              </w:rPr>
              <w:t>Ghz</w:t>
            </w:r>
            <w:proofErr w:type="spellEnd"/>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 CPU per Blade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12 Cores Per CPU</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4 Blades w/ 256Gb RAM</w:t>
            </w:r>
          </w:p>
        </w:tc>
      </w:tr>
      <w:tr w:rsidR="00AB335C" w:rsidRPr="00AB335C" w:rsidTr="00AB335C">
        <w:trPr>
          <w:trHeight w:val="526"/>
          <w:jc w:val="center"/>
        </w:trPr>
        <w:tc>
          <w:tcPr>
            <w:tcW w:w="3971"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Overall Solution</w:t>
            </w:r>
          </w:p>
        </w:tc>
        <w:tc>
          <w:tcPr>
            <w:tcW w:w="3869"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2155"/>
          <w:jc w:val="center"/>
        </w:trPr>
        <w:tc>
          <w:tcPr>
            <w:tcW w:w="3971"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8Tb RAW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4.5Tb Usable SSD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2.5Tb Used VM Storage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96 Total Number of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78 Allocated vCPUs</w:t>
            </w:r>
          </w:p>
        </w:tc>
        <w:tc>
          <w:tcPr>
            <w:tcW w:w="3869"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55.2 (GHz) CPU per Node</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220 (GHz) CPU per Data Center</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15 GHz Total Peak CPU</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1.0Tb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275Gb Peak Memory Usage</w:t>
            </w:r>
          </w:p>
        </w:tc>
      </w:tr>
    </w:tbl>
    <w:p w:rsidR="00AB335C" w:rsidRPr="00AB335C" w:rsidRDefault="00AB335C" w:rsidP="00AB335C">
      <w:pPr>
        <w:ind w:left="1440"/>
      </w:pPr>
    </w:p>
    <w:p w:rsidR="00AB335C" w:rsidRPr="00AB335C" w:rsidRDefault="00AB335C" w:rsidP="00AB335C">
      <w:pPr>
        <w:ind w:left="1440"/>
        <w:jc w:val="center"/>
      </w:pPr>
      <w:r w:rsidRPr="00AB335C">
        <w:rPr>
          <w:noProof/>
        </w:rPr>
        <w:lastRenderedPageBreak/>
        <w:drawing>
          <wp:inline distT="0" distB="0" distL="0" distR="0" wp14:anchorId="567A80D2" wp14:editId="34ACCE02">
            <wp:extent cx="5429250" cy="264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2647950"/>
                    </a:xfrm>
                    <a:prstGeom prst="rect">
                      <a:avLst/>
                    </a:prstGeom>
                    <a:noFill/>
                    <a:ln>
                      <a:noFill/>
                    </a:ln>
                  </pic:spPr>
                </pic:pic>
              </a:graphicData>
            </a:graphic>
          </wp:inline>
        </w:drawing>
      </w:r>
    </w:p>
    <w:p w:rsidR="00AB335C" w:rsidRPr="00AB335C" w:rsidRDefault="00AB335C" w:rsidP="00AB335C">
      <w:pPr>
        <w:ind w:left="1440"/>
      </w:pPr>
    </w:p>
    <w:p w:rsidR="00AB335C" w:rsidRPr="00AB335C" w:rsidRDefault="00AB335C" w:rsidP="00AB335C">
      <w:pPr>
        <w:ind w:left="1440"/>
        <w:rPr>
          <w:b/>
          <w:u w:val="single"/>
        </w:rPr>
      </w:pPr>
      <w:r w:rsidRPr="00AB335C">
        <w:rPr>
          <w:b/>
          <w:u w:val="single"/>
        </w:rPr>
        <w:t>SOLUTION REQUIREMENTS:</w:t>
      </w:r>
    </w:p>
    <w:p w:rsidR="00AB335C" w:rsidRPr="00AB335C" w:rsidRDefault="00AB335C" w:rsidP="00AB335C">
      <w:pPr>
        <w:ind w:left="1440"/>
        <w:rPr>
          <w:b/>
        </w:rPr>
      </w:pPr>
      <w:r w:rsidRPr="00AB335C">
        <w:rPr>
          <w:b/>
        </w:rPr>
        <w:t>Production Environment</w:t>
      </w:r>
    </w:p>
    <w:p w:rsidR="00AB335C" w:rsidRPr="00AB335C" w:rsidRDefault="00AB335C" w:rsidP="00AB335C">
      <w:pPr>
        <w:numPr>
          <w:ilvl w:val="0"/>
          <w:numId w:val="10"/>
        </w:numPr>
        <w:ind w:left="2160"/>
        <w:contextualSpacing/>
      </w:pPr>
      <w:r w:rsidRPr="00AB335C">
        <w:t>A modern stretched clustered system. (Niagara Falls Campus)</w:t>
      </w:r>
    </w:p>
    <w:p w:rsidR="00AB335C" w:rsidRPr="00AB335C" w:rsidRDefault="00AB335C" w:rsidP="00AB335C">
      <w:pPr>
        <w:numPr>
          <w:ilvl w:val="0"/>
          <w:numId w:val="10"/>
        </w:numPr>
        <w:ind w:left="2160"/>
        <w:contextualSpacing/>
      </w:pPr>
      <w:r w:rsidRPr="00AB335C">
        <w:t xml:space="preserve">Configured to utilize all hardware across two data centers. (active/active between two data centers in Niagara Falls) </w:t>
      </w:r>
    </w:p>
    <w:p w:rsidR="00AB335C" w:rsidRPr="00AB335C" w:rsidRDefault="00AB335C" w:rsidP="00AB335C">
      <w:pPr>
        <w:numPr>
          <w:ilvl w:val="0"/>
          <w:numId w:val="10"/>
        </w:numPr>
        <w:ind w:left="2160"/>
        <w:contextualSpacing/>
      </w:pPr>
      <w:r w:rsidRPr="00AB335C">
        <w:t>Highly Available in the event of a loss of one data center with a zero RPO/RTO. (Niagara Falls)</w:t>
      </w:r>
    </w:p>
    <w:p w:rsidR="00AB335C" w:rsidRPr="00AB335C" w:rsidRDefault="00AB335C" w:rsidP="00AB335C">
      <w:pPr>
        <w:numPr>
          <w:ilvl w:val="0"/>
          <w:numId w:val="10"/>
        </w:numPr>
        <w:ind w:left="2160"/>
        <w:contextualSpacing/>
      </w:pPr>
      <w:r w:rsidRPr="00AB335C">
        <w:t>Highly Available per data center in the event of a hardware failure.</w:t>
      </w:r>
    </w:p>
    <w:p w:rsidR="00AB335C" w:rsidRPr="00AB335C" w:rsidRDefault="00AB335C" w:rsidP="00AB335C">
      <w:pPr>
        <w:numPr>
          <w:ilvl w:val="0"/>
          <w:numId w:val="10"/>
        </w:numPr>
        <w:tabs>
          <w:tab w:val="left" w:pos="1520"/>
        </w:tabs>
        <w:ind w:left="2160"/>
        <w:contextualSpacing/>
      </w:pPr>
      <w:r w:rsidRPr="00AB335C">
        <w:t>How many concurrent node and drive failures can the system tolerate in the recommended configurations per data center solution?</w:t>
      </w:r>
    </w:p>
    <w:p w:rsidR="00AB335C" w:rsidRPr="00AB335C" w:rsidRDefault="00AB335C" w:rsidP="00AB335C">
      <w:pPr>
        <w:numPr>
          <w:ilvl w:val="0"/>
          <w:numId w:val="10"/>
        </w:numPr>
        <w:tabs>
          <w:tab w:val="left" w:pos="1520"/>
        </w:tabs>
        <w:ind w:left="2160"/>
        <w:contextualSpacing/>
      </w:pPr>
      <w:r w:rsidRPr="00AB335C">
        <w:t>How long to rebuild/re-protect from the failure of a drive in the different configurations?</w:t>
      </w:r>
    </w:p>
    <w:p w:rsidR="00AB335C" w:rsidRPr="00AB335C" w:rsidRDefault="00AB335C" w:rsidP="00AB335C">
      <w:pPr>
        <w:numPr>
          <w:ilvl w:val="0"/>
          <w:numId w:val="10"/>
        </w:numPr>
        <w:ind w:left="2160"/>
        <w:contextualSpacing/>
      </w:pPr>
      <w:r w:rsidRPr="00AB335C">
        <w:t>Ease of Use (Administration, Upgrades, Patching, Expansion)</w:t>
      </w:r>
    </w:p>
    <w:p w:rsidR="00AB335C" w:rsidRPr="00AB335C" w:rsidRDefault="00AB335C" w:rsidP="00AB335C">
      <w:pPr>
        <w:numPr>
          <w:ilvl w:val="0"/>
          <w:numId w:val="10"/>
        </w:numPr>
        <w:ind w:left="2160"/>
        <w:contextualSpacing/>
      </w:pPr>
      <w:r w:rsidRPr="00AB335C">
        <w:t>Include SSD All Flash Storage per data center. Define flash technology (SLC/QLC…)</w:t>
      </w:r>
    </w:p>
    <w:p w:rsidR="00AB335C" w:rsidRPr="00AB335C" w:rsidRDefault="00AB335C" w:rsidP="00AB335C">
      <w:pPr>
        <w:numPr>
          <w:ilvl w:val="0"/>
          <w:numId w:val="10"/>
        </w:numPr>
        <w:ind w:left="2160"/>
        <w:contextualSpacing/>
      </w:pPr>
      <w:r w:rsidRPr="00AB335C">
        <w:t>Outline total useable capacity before dedupe and compression.</w:t>
      </w:r>
    </w:p>
    <w:p w:rsidR="00AB335C" w:rsidRPr="00AB335C" w:rsidRDefault="00AB335C" w:rsidP="00AB335C">
      <w:pPr>
        <w:numPr>
          <w:ilvl w:val="0"/>
          <w:numId w:val="10"/>
        </w:numPr>
        <w:ind w:left="2160"/>
        <w:contextualSpacing/>
      </w:pPr>
      <w:r w:rsidRPr="00AB335C">
        <w:t>Allow for a 10% annual data growth.</w:t>
      </w:r>
    </w:p>
    <w:p w:rsidR="00AB335C" w:rsidRPr="00AB335C" w:rsidRDefault="00AB335C" w:rsidP="00AB335C">
      <w:pPr>
        <w:numPr>
          <w:ilvl w:val="0"/>
          <w:numId w:val="10"/>
        </w:numPr>
        <w:ind w:left="2160"/>
        <w:contextualSpacing/>
      </w:pPr>
      <w:r w:rsidRPr="00AB335C">
        <w:t>Include a minimum of two 10 Gb or greater network ports per node (copper or fiber).</w:t>
      </w:r>
    </w:p>
    <w:p w:rsidR="00AB335C" w:rsidRPr="00AB335C" w:rsidRDefault="00AB335C" w:rsidP="00AB335C">
      <w:pPr>
        <w:numPr>
          <w:ilvl w:val="1"/>
          <w:numId w:val="10"/>
        </w:numPr>
        <w:ind w:left="2880"/>
        <w:contextualSpacing/>
      </w:pPr>
      <w:r w:rsidRPr="00AB335C">
        <w:t>Specify total number of connections, speed and media.</w:t>
      </w:r>
    </w:p>
    <w:p w:rsidR="00AB335C" w:rsidRPr="00AB335C" w:rsidRDefault="00AB335C" w:rsidP="00AB335C">
      <w:pPr>
        <w:numPr>
          <w:ilvl w:val="0"/>
          <w:numId w:val="10"/>
        </w:numPr>
        <w:ind w:left="2160"/>
        <w:contextualSpacing/>
      </w:pPr>
      <w:r w:rsidRPr="00AB335C">
        <w:t>Describe setup and network connectivity requirements for DMZ capabilities within Niagara Falls data center.</w:t>
      </w:r>
    </w:p>
    <w:p w:rsidR="00AB335C" w:rsidRPr="00AB335C" w:rsidRDefault="00AB335C" w:rsidP="00AB335C">
      <w:pPr>
        <w:numPr>
          <w:ilvl w:val="0"/>
          <w:numId w:val="10"/>
        </w:numPr>
        <w:ind w:left="2160"/>
        <w:contextualSpacing/>
      </w:pPr>
      <w:r w:rsidRPr="00AB335C">
        <w:t>Define solutions hardware (disk and compute) internal redundancy options, replication factor within each node and data center.</w:t>
      </w:r>
    </w:p>
    <w:p w:rsidR="00AB335C" w:rsidRPr="00AB335C" w:rsidRDefault="00AB335C" w:rsidP="00AB335C">
      <w:pPr>
        <w:numPr>
          <w:ilvl w:val="0"/>
          <w:numId w:val="10"/>
        </w:numPr>
        <w:ind w:left="2160"/>
        <w:contextualSpacing/>
      </w:pPr>
      <w:r w:rsidRPr="00AB335C">
        <w:t>Define system capability to scale out and requirements for same or similar hardware.</w:t>
      </w:r>
    </w:p>
    <w:p w:rsidR="00AB335C" w:rsidRPr="00AB335C" w:rsidRDefault="00AB335C" w:rsidP="00AB335C">
      <w:pPr>
        <w:numPr>
          <w:ilvl w:val="0"/>
          <w:numId w:val="10"/>
        </w:numPr>
        <w:ind w:left="2160"/>
        <w:contextualSpacing/>
      </w:pPr>
      <w:r w:rsidRPr="00AB335C">
        <w:lastRenderedPageBreak/>
        <w:t>Describe both compression and encryption technologies included and to be implemented. When does it occur, are there block size requirements or recommendations.</w:t>
      </w:r>
    </w:p>
    <w:p w:rsidR="00AB335C" w:rsidRPr="00AB335C" w:rsidRDefault="00AB335C" w:rsidP="00AB335C">
      <w:pPr>
        <w:numPr>
          <w:ilvl w:val="0"/>
          <w:numId w:val="10"/>
        </w:numPr>
        <w:ind w:left="2160"/>
        <w:contextualSpacing/>
      </w:pPr>
      <w:r w:rsidRPr="00AB335C">
        <w:t>Outline simplified upgrade capabilities and features</w:t>
      </w:r>
      <w:r w:rsidRPr="00AB335C">
        <w:rPr>
          <w:b/>
        </w:rPr>
        <w:t>.</w:t>
      </w:r>
    </w:p>
    <w:p w:rsidR="00AB335C" w:rsidRPr="00AB335C" w:rsidRDefault="00AB335C" w:rsidP="00AB335C">
      <w:pPr>
        <w:numPr>
          <w:ilvl w:val="0"/>
          <w:numId w:val="10"/>
        </w:numPr>
        <w:ind w:left="2160"/>
        <w:contextualSpacing/>
      </w:pPr>
      <w:r w:rsidRPr="00AB335C">
        <w:t>Ensure non-disruptive hardware/software upgrades. N+1 configuration</w:t>
      </w:r>
    </w:p>
    <w:p w:rsidR="00AB335C" w:rsidRPr="00AB335C" w:rsidRDefault="00AB335C" w:rsidP="00AB335C">
      <w:pPr>
        <w:numPr>
          <w:ilvl w:val="0"/>
          <w:numId w:val="10"/>
        </w:numPr>
        <w:ind w:left="2160"/>
        <w:contextualSpacing/>
      </w:pPr>
      <w:r w:rsidRPr="00AB335C">
        <w:t>Simplified system management of disparate and complex systems.</w:t>
      </w:r>
    </w:p>
    <w:p w:rsidR="00AB335C" w:rsidRPr="00AB335C" w:rsidRDefault="00AB335C" w:rsidP="00AB335C">
      <w:pPr>
        <w:numPr>
          <w:ilvl w:val="0"/>
          <w:numId w:val="10"/>
        </w:numPr>
        <w:ind w:left="2160"/>
        <w:contextualSpacing/>
      </w:pPr>
      <w:r w:rsidRPr="00AB335C">
        <w:t>Software to manage/monitor the health, risk, efficiency and capacity of virtual infrastructure.</w:t>
      </w:r>
    </w:p>
    <w:p w:rsidR="00AB335C" w:rsidRPr="00AB335C" w:rsidRDefault="00AB335C" w:rsidP="00AB335C">
      <w:pPr>
        <w:numPr>
          <w:ilvl w:val="0"/>
          <w:numId w:val="10"/>
        </w:numPr>
        <w:ind w:left="2160"/>
        <w:contextualSpacing/>
      </w:pPr>
      <w:r w:rsidRPr="00AB335C">
        <w:t>Complete racking/cabling of solution in existing racks.</w:t>
      </w:r>
    </w:p>
    <w:p w:rsidR="00AB335C" w:rsidRPr="00AB335C" w:rsidRDefault="00AB335C" w:rsidP="00AB335C">
      <w:pPr>
        <w:numPr>
          <w:ilvl w:val="0"/>
          <w:numId w:val="10"/>
        </w:numPr>
        <w:ind w:left="2160"/>
        <w:contextualSpacing/>
      </w:pPr>
      <w:r w:rsidRPr="00AB335C">
        <w:t>All associated interconnect cabling and SFPs.</w:t>
      </w:r>
    </w:p>
    <w:p w:rsidR="00AB335C" w:rsidRPr="00AB335C" w:rsidRDefault="00AB335C" w:rsidP="00AB335C">
      <w:pPr>
        <w:numPr>
          <w:ilvl w:val="0"/>
          <w:numId w:val="10"/>
        </w:numPr>
        <w:ind w:left="2160"/>
        <w:contextualSpacing/>
      </w:pPr>
      <w:r w:rsidRPr="00AB335C">
        <w:t>Cisco appliance compatible (other ova deployments)</w:t>
      </w:r>
    </w:p>
    <w:p w:rsidR="00AB335C" w:rsidRPr="00AB335C" w:rsidRDefault="00AB335C" w:rsidP="00AB335C">
      <w:pPr>
        <w:ind w:left="2160"/>
        <w:contextualSpacing/>
      </w:pPr>
    </w:p>
    <w:p w:rsidR="00AB335C" w:rsidRPr="00AB335C" w:rsidRDefault="00AB335C" w:rsidP="00AB335C">
      <w:pPr>
        <w:ind w:left="1440"/>
        <w:rPr>
          <w:b/>
        </w:rPr>
      </w:pPr>
      <w:r w:rsidRPr="00AB335C">
        <w:rPr>
          <w:b/>
        </w:rPr>
        <w:t>Enterprise File Environment</w:t>
      </w:r>
    </w:p>
    <w:p w:rsidR="00AB335C" w:rsidRPr="00AB335C" w:rsidRDefault="00AB335C" w:rsidP="00AB335C">
      <w:pPr>
        <w:numPr>
          <w:ilvl w:val="0"/>
          <w:numId w:val="10"/>
        </w:numPr>
        <w:ind w:left="2160"/>
        <w:contextualSpacing/>
      </w:pPr>
      <w:r w:rsidRPr="00AB335C">
        <w:t>Enterprise file solution to encompass all 3 locations.</w:t>
      </w:r>
    </w:p>
    <w:p w:rsidR="00AB335C" w:rsidRPr="00AB335C" w:rsidRDefault="00AB335C" w:rsidP="00AB335C">
      <w:pPr>
        <w:numPr>
          <w:ilvl w:val="0"/>
          <w:numId w:val="10"/>
        </w:numPr>
        <w:ind w:left="2160"/>
        <w:contextualSpacing/>
      </w:pPr>
      <w:r w:rsidRPr="00AB335C">
        <w:t>Niagara Falls - Highly Available in the event of a loss of one data center with a zero RPO/RTO.</w:t>
      </w:r>
    </w:p>
    <w:p w:rsidR="00AB335C" w:rsidRPr="00AB335C" w:rsidRDefault="00AB335C" w:rsidP="00AB335C">
      <w:pPr>
        <w:numPr>
          <w:ilvl w:val="0"/>
          <w:numId w:val="10"/>
        </w:numPr>
        <w:ind w:left="2160"/>
        <w:contextualSpacing/>
      </w:pPr>
      <w:r w:rsidRPr="00AB335C">
        <w:t>Ease of Use (Administration, Upgrades, Patching, Expansion)</w:t>
      </w:r>
    </w:p>
    <w:p w:rsidR="00AB335C" w:rsidRPr="00AB335C" w:rsidRDefault="00AB335C" w:rsidP="00AB335C">
      <w:pPr>
        <w:numPr>
          <w:ilvl w:val="0"/>
          <w:numId w:val="10"/>
        </w:numPr>
        <w:ind w:left="2160"/>
        <w:contextualSpacing/>
      </w:pPr>
      <w:r w:rsidRPr="00AB335C">
        <w:t>Describe HA/fault tolerance configuration and replication proposed.</w:t>
      </w:r>
    </w:p>
    <w:p w:rsidR="00AB335C" w:rsidRPr="00AB335C" w:rsidRDefault="00AB335C" w:rsidP="00AB335C">
      <w:pPr>
        <w:numPr>
          <w:ilvl w:val="0"/>
          <w:numId w:val="10"/>
        </w:numPr>
        <w:ind w:left="2160"/>
        <w:contextualSpacing/>
      </w:pPr>
      <w:r w:rsidRPr="00AB335C">
        <w:t>Provide speed/latency requirements.</w:t>
      </w:r>
    </w:p>
    <w:p w:rsidR="00AB335C" w:rsidRPr="00AB335C" w:rsidRDefault="00AB335C" w:rsidP="00AB335C">
      <w:pPr>
        <w:numPr>
          <w:ilvl w:val="0"/>
          <w:numId w:val="10"/>
        </w:numPr>
        <w:spacing w:beforeLines="120" w:before="288" w:after="0" w:line="240" w:lineRule="auto"/>
        <w:ind w:left="2160"/>
        <w:contextualSpacing/>
      </w:pPr>
      <w:r w:rsidRPr="00AB335C">
        <w:t>Does the solution include native file archiving? Describe integration with Dell ECS for file archive repository including any needed licenses or components.</w:t>
      </w:r>
    </w:p>
    <w:p w:rsidR="00AB335C" w:rsidRPr="00AB335C" w:rsidRDefault="00AB335C" w:rsidP="00AB335C">
      <w:pPr>
        <w:numPr>
          <w:ilvl w:val="0"/>
          <w:numId w:val="10"/>
        </w:numPr>
        <w:spacing w:beforeLines="120" w:before="288" w:after="0" w:line="240" w:lineRule="auto"/>
        <w:ind w:left="2160"/>
        <w:contextualSpacing/>
      </w:pPr>
      <w:r w:rsidRPr="00AB335C">
        <w:t xml:space="preserve">Describe solution integrations and support for </w:t>
      </w:r>
      <w:proofErr w:type="spellStart"/>
      <w:r w:rsidRPr="00AB335C">
        <w:t>Commvault</w:t>
      </w:r>
      <w:proofErr w:type="spellEnd"/>
      <w:r w:rsidRPr="00AB335C">
        <w:t>.</w:t>
      </w:r>
    </w:p>
    <w:p w:rsidR="00AB335C" w:rsidRPr="00AB335C" w:rsidRDefault="00AB335C" w:rsidP="00AB335C">
      <w:pPr>
        <w:numPr>
          <w:ilvl w:val="0"/>
          <w:numId w:val="10"/>
        </w:numPr>
        <w:spacing w:beforeLines="120" w:before="288" w:after="0" w:line="240" w:lineRule="auto"/>
        <w:ind w:left="2160"/>
        <w:contextualSpacing/>
      </w:pPr>
      <w:r w:rsidRPr="00AB335C">
        <w:t xml:space="preserve">Describe solution integrations and support for Varonis. Does the solution have built in capabilities to perform those functions </w:t>
      </w:r>
      <w:proofErr w:type="gramStart"/>
      <w:r w:rsidRPr="00AB335C">
        <w:t>included.</w:t>
      </w:r>
      <w:proofErr w:type="gramEnd"/>
    </w:p>
    <w:p w:rsidR="00407EB8" w:rsidRDefault="00AB335C" w:rsidP="00923D6D">
      <w:pPr>
        <w:numPr>
          <w:ilvl w:val="0"/>
          <w:numId w:val="10"/>
        </w:numPr>
        <w:spacing w:beforeLines="120" w:before="288" w:after="0" w:line="240" w:lineRule="auto"/>
        <w:ind w:left="2160"/>
        <w:contextualSpacing/>
      </w:pPr>
      <w:r w:rsidRPr="00AB335C">
        <w:t xml:space="preserve">Does the solution support </w:t>
      </w:r>
      <w:proofErr w:type="spellStart"/>
      <w:r w:rsidRPr="00AB335C">
        <w:t>FileCloud</w:t>
      </w:r>
      <w:proofErr w:type="spellEnd"/>
      <w:r w:rsidRPr="00AB335C">
        <w:t xml:space="preserve"> or does it include a similar capability (remote file sharing)?</w:t>
      </w:r>
    </w:p>
    <w:p w:rsidR="00407EB8" w:rsidRPr="00AB335C" w:rsidRDefault="00407EB8" w:rsidP="00AB335C">
      <w:pPr>
        <w:ind w:left="1440"/>
      </w:pPr>
    </w:p>
    <w:p w:rsidR="00AB06C7" w:rsidRPr="00AB335C" w:rsidRDefault="00AB06C7" w:rsidP="00AB06C7">
      <w:pPr>
        <w:ind w:left="1440"/>
        <w:rPr>
          <w:b/>
        </w:rPr>
      </w:pPr>
      <w:r>
        <w:rPr>
          <w:b/>
        </w:rPr>
        <w:t>Security</w:t>
      </w:r>
    </w:p>
    <w:p w:rsidR="00AB335C" w:rsidRPr="00AB335C" w:rsidRDefault="00AB06C7" w:rsidP="00923D6D">
      <w:pPr>
        <w:numPr>
          <w:ilvl w:val="0"/>
          <w:numId w:val="10"/>
        </w:numPr>
        <w:ind w:left="2160"/>
        <w:contextualSpacing/>
      </w:pPr>
      <w:r>
        <w:rPr>
          <w:rFonts w:ascii="Arial" w:hAnsi="Arial" w:cs="Arial"/>
        </w:rPr>
        <w:t xml:space="preserve">Provide any </w:t>
      </w:r>
      <w:r w:rsidRPr="004F122A">
        <w:rPr>
          <w:rFonts w:ascii="Arial" w:hAnsi="Arial" w:cs="Arial"/>
        </w:rPr>
        <w:t>security baseline</w:t>
      </w:r>
      <w:r>
        <w:rPr>
          <w:rFonts w:ascii="Arial" w:hAnsi="Arial" w:cs="Arial"/>
        </w:rPr>
        <w:t xml:space="preserve"> documentation/guides</w:t>
      </w:r>
      <w:r w:rsidRPr="004F122A">
        <w:rPr>
          <w:rFonts w:ascii="Arial" w:hAnsi="Arial" w:cs="Arial"/>
        </w:rPr>
        <w:t>, e.g. NIST (</w:t>
      </w:r>
      <w:hyperlink r:id="rId14" w:history="1">
        <w:r w:rsidRPr="004F122A">
          <w:rPr>
            <w:rStyle w:val="Hyperlink"/>
            <w:rFonts w:ascii="Arial" w:hAnsi="Arial" w:cs="Arial"/>
          </w:rPr>
          <w:t>https://nvlpubs.nist.gov/nistpubs/SpecialPublications/NIST.SP.800-209.pdf</w:t>
        </w:r>
      </w:hyperlink>
      <w:r>
        <w:rPr>
          <w:rFonts w:ascii="Arial" w:hAnsi="Arial" w:cs="Arial"/>
        </w:rPr>
        <w:t>) wherever appropriate.</w:t>
      </w:r>
    </w:p>
    <w:p w:rsidR="00AB335C" w:rsidRPr="00AB335C" w:rsidRDefault="00AB335C" w:rsidP="00AB335C">
      <w:pPr>
        <w:ind w:left="1440"/>
      </w:pPr>
    </w:p>
    <w:p w:rsidR="00AB335C" w:rsidRPr="00AB335C" w:rsidRDefault="00AB335C" w:rsidP="00AB335C">
      <w:pPr>
        <w:ind w:left="1440"/>
        <w:rPr>
          <w:b/>
        </w:rPr>
      </w:pPr>
      <w:r w:rsidRPr="00AB335C">
        <w:rPr>
          <w:b/>
        </w:rPr>
        <w:t>Services</w:t>
      </w:r>
    </w:p>
    <w:p w:rsidR="00AB335C" w:rsidRPr="00AB335C" w:rsidRDefault="00AB335C" w:rsidP="00AB335C">
      <w:pPr>
        <w:numPr>
          <w:ilvl w:val="0"/>
          <w:numId w:val="10"/>
        </w:numPr>
        <w:ind w:left="2160"/>
        <w:contextualSpacing/>
      </w:pPr>
      <w:r w:rsidRPr="00AB335C">
        <w:t>Outline and include all licensing requirements and include in bid.</w:t>
      </w:r>
    </w:p>
    <w:p w:rsidR="00AB335C" w:rsidRPr="00AB335C" w:rsidRDefault="00AB335C" w:rsidP="00AB335C">
      <w:pPr>
        <w:numPr>
          <w:ilvl w:val="0"/>
          <w:numId w:val="10"/>
        </w:numPr>
        <w:ind w:left="2160"/>
        <w:contextualSpacing/>
        <w:rPr>
          <w:rFonts w:eastAsia="Times New Roman" w:cstheme="minorHAnsi"/>
        </w:rPr>
      </w:pPr>
      <w:r w:rsidRPr="00AB335C">
        <w:t>3 years of 24/7/365 (Including any/all holidays) – 4-hour onsite software and hardware support</w:t>
      </w:r>
      <w:r w:rsidRPr="00AB335C">
        <w:rPr>
          <w:rFonts w:eastAsia="Times New Roman" w:cstheme="minorHAnsi"/>
        </w:rPr>
        <w:t xml:space="preserve"> with an additional two one year options to renew.</w:t>
      </w:r>
    </w:p>
    <w:p w:rsidR="00AB335C" w:rsidRPr="00AB335C" w:rsidRDefault="00AB335C" w:rsidP="00AB335C">
      <w:pPr>
        <w:numPr>
          <w:ilvl w:val="0"/>
          <w:numId w:val="10"/>
        </w:numPr>
        <w:ind w:left="2160"/>
        <w:contextualSpacing/>
      </w:pPr>
      <w:r w:rsidRPr="00AB335C">
        <w:t>Provide defined SLAs.</w:t>
      </w:r>
    </w:p>
    <w:p w:rsidR="00AB335C" w:rsidRPr="00AB335C" w:rsidRDefault="00AB335C" w:rsidP="00AB335C">
      <w:pPr>
        <w:numPr>
          <w:ilvl w:val="0"/>
          <w:numId w:val="10"/>
        </w:numPr>
        <w:ind w:left="2160"/>
        <w:contextualSpacing/>
      </w:pPr>
      <w:r w:rsidRPr="00AB335C">
        <w:t xml:space="preserve">Provide maintenance cost structure after initial </w:t>
      </w:r>
      <w:proofErr w:type="gramStart"/>
      <w:r w:rsidRPr="00AB335C">
        <w:t>5 year</w:t>
      </w:r>
      <w:proofErr w:type="gramEnd"/>
      <w:r w:rsidRPr="00AB335C">
        <w:t xml:space="preserve"> proposal.</w:t>
      </w:r>
    </w:p>
    <w:p w:rsidR="00AB335C" w:rsidRPr="00AB335C" w:rsidRDefault="00AB335C" w:rsidP="00AB335C">
      <w:pPr>
        <w:numPr>
          <w:ilvl w:val="0"/>
          <w:numId w:val="10"/>
        </w:numPr>
        <w:ind w:left="2160"/>
        <w:contextualSpacing/>
      </w:pPr>
      <w:r w:rsidRPr="00AB335C">
        <w:t>Define payment schedule, promotions and discounts.</w:t>
      </w:r>
    </w:p>
    <w:p w:rsidR="00AB335C" w:rsidRPr="00AB335C" w:rsidRDefault="00AB335C" w:rsidP="00AB335C">
      <w:pPr>
        <w:numPr>
          <w:ilvl w:val="0"/>
          <w:numId w:val="10"/>
        </w:numPr>
        <w:ind w:left="2160"/>
        <w:contextualSpacing/>
      </w:pPr>
      <w:r w:rsidRPr="00AB335C">
        <w:t>Outline training included along with any future training opportunities, vouchers or certificates.</w:t>
      </w:r>
    </w:p>
    <w:p w:rsidR="00AB335C" w:rsidRPr="00AB335C" w:rsidRDefault="00AB335C" w:rsidP="00AB335C">
      <w:pPr>
        <w:numPr>
          <w:ilvl w:val="0"/>
          <w:numId w:val="10"/>
        </w:numPr>
        <w:ind w:left="2160"/>
        <w:contextualSpacing/>
      </w:pPr>
      <w:r w:rsidRPr="00AB335C">
        <w:lastRenderedPageBreak/>
        <w:t>Complete system documentation including SGC specific setup.</w:t>
      </w:r>
    </w:p>
    <w:p w:rsidR="00AB335C" w:rsidRPr="00AB335C" w:rsidRDefault="00AB335C" w:rsidP="00AB335C">
      <w:pPr>
        <w:numPr>
          <w:ilvl w:val="0"/>
          <w:numId w:val="10"/>
        </w:numPr>
        <w:ind w:left="2160"/>
        <w:contextualSpacing/>
      </w:pPr>
      <w:r w:rsidRPr="00AB335C">
        <w:t>A proven track record of delivering on promises.</w:t>
      </w:r>
    </w:p>
    <w:p w:rsidR="00AB335C" w:rsidRPr="00AB335C" w:rsidRDefault="00AB335C" w:rsidP="00AB335C">
      <w:pPr>
        <w:numPr>
          <w:ilvl w:val="0"/>
          <w:numId w:val="10"/>
        </w:numPr>
        <w:ind w:left="2160"/>
        <w:contextualSpacing/>
      </w:pPr>
      <w:r w:rsidRPr="00AB335C">
        <w:t>Planning and Design sessions for solution.</w:t>
      </w:r>
    </w:p>
    <w:p w:rsidR="00AB335C" w:rsidRPr="00AB335C" w:rsidRDefault="00AB335C" w:rsidP="00AB335C">
      <w:pPr>
        <w:numPr>
          <w:ilvl w:val="0"/>
          <w:numId w:val="10"/>
        </w:numPr>
        <w:ind w:left="2160"/>
        <w:contextualSpacing/>
      </w:pPr>
      <w:r w:rsidRPr="00AB335C">
        <w:t>Project Management services.</w:t>
      </w:r>
    </w:p>
    <w:p w:rsidR="00AB335C" w:rsidRPr="00AB335C" w:rsidRDefault="00AB335C" w:rsidP="00AB335C">
      <w:pPr>
        <w:numPr>
          <w:ilvl w:val="0"/>
          <w:numId w:val="10"/>
        </w:numPr>
        <w:ind w:left="2160"/>
        <w:contextualSpacing/>
      </w:pPr>
      <w:r w:rsidRPr="00AB335C">
        <w:t>Provide professional services for complete install and integration into current environment.</w:t>
      </w:r>
    </w:p>
    <w:p w:rsidR="00AB335C" w:rsidRPr="00AB335C" w:rsidRDefault="00AB335C" w:rsidP="00AB335C">
      <w:pPr>
        <w:numPr>
          <w:ilvl w:val="0"/>
          <w:numId w:val="10"/>
        </w:numPr>
        <w:ind w:left="2160"/>
        <w:contextualSpacing/>
      </w:pPr>
      <w:r w:rsidRPr="00AB335C">
        <w:t>Migration services to assist with SQL (AOAG and FCI) currently on RDMs.</w:t>
      </w:r>
    </w:p>
    <w:p w:rsidR="00AB335C" w:rsidRPr="00AB335C" w:rsidRDefault="00AB335C" w:rsidP="00AB335C">
      <w:pPr>
        <w:numPr>
          <w:ilvl w:val="0"/>
          <w:numId w:val="10"/>
        </w:numPr>
        <w:ind w:left="2160"/>
        <w:contextualSpacing/>
      </w:pPr>
      <w:r w:rsidRPr="00AB335C">
        <w:t>Include and define SAN connectivity for migration period.</w:t>
      </w:r>
    </w:p>
    <w:p w:rsidR="00AB335C" w:rsidRPr="00AB335C" w:rsidRDefault="00AB335C" w:rsidP="00AB335C">
      <w:pPr>
        <w:numPr>
          <w:ilvl w:val="0"/>
          <w:numId w:val="10"/>
        </w:numPr>
        <w:spacing w:beforeLines="120" w:before="288" w:after="0" w:line="240" w:lineRule="auto"/>
        <w:ind w:left="2160"/>
        <w:contextualSpacing/>
      </w:pPr>
      <w:r w:rsidRPr="00AB335C">
        <w:t>Provide high level solution Design, Implementation and Migration Plan. (Detailed project plan will be required with bid award).</w:t>
      </w:r>
    </w:p>
    <w:p w:rsidR="00AB335C" w:rsidRPr="00AB335C" w:rsidRDefault="00AB335C" w:rsidP="00AB335C">
      <w:pPr>
        <w:numPr>
          <w:ilvl w:val="0"/>
          <w:numId w:val="10"/>
        </w:numPr>
        <w:spacing w:beforeLines="120" w:before="288" w:after="0" w:line="240" w:lineRule="auto"/>
        <w:ind w:left="2160"/>
        <w:contextualSpacing/>
      </w:pPr>
      <w:r w:rsidRPr="00AB335C">
        <w:t>No rack hardware needed with proposal.</w:t>
      </w:r>
    </w:p>
    <w:p w:rsidR="00AB335C" w:rsidRDefault="00AB335C" w:rsidP="00AB335C">
      <w:pPr>
        <w:ind w:left="1440"/>
      </w:pPr>
    </w:p>
    <w:p w:rsidR="00407EB8" w:rsidRPr="00AB335C" w:rsidRDefault="00407EB8" w:rsidP="00AB335C">
      <w:pPr>
        <w:ind w:left="1440"/>
      </w:pPr>
    </w:p>
    <w:p w:rsidR="00AB335C" w:rsidRPr="00AB335C" w:rsidRDefault="00AB335C" w:rsidP="00AB335C">
      <w:pPr>
        <w:ind w:left="1440"/>
        <w:rPr>
          <w:b/>
          <w:u w:val="single"/>
        </w:rPr>
      </w:pPr>
      <w:r w:rsidRPr="00AB335C">
        <w:rPr>
          <w:b/>
          <w:u w:val="single"/>
        </w:rPr>
        <w:t>ESTIMATED MINIMUM REQUIREMENTS FOR NEW IT ENVIRONMENT:</w:t>
      </w:r>
    </w:p>
    <w:p w:rsidR="00AB335C" w:rsidRPr="00AB335C" w:rsidRDefault="00AB335C" w:rsidP="00AB335C">
      <w:pPr>
        <w:numPr>
          <w:ilvl w:val="0"/>
          <w:numId w:val="10"/>
        </w:numPr>
        <w:ind w:left="2160"/>
        <w:contextualSpacing/>
      </w:pPr>
      <w:r w:rsidRPr="00AB335C">
        <w:t xml:space="preserve">Dell Live Optics and </w:t>
      </w:r>
      <w:proofErr w:type="spellStart"/>
      <w:r w:rsidRPr="00AB335C">
        <w:t>RVTools</w:t>
      </w:r>
      <w:proofErr w:type="spellEnd"/>
      <w:r w:rsidRPr="00AB335C">
        <w:t xml:space="preserve"> available upon request.</w:t>
      </w:r>
    </w:p>
    <w:tbl>
      <w:tblPr>
        <w:tblStyle w:val="TableGrid"/>
        <w:tblW w:w="0" w:type="auto"/>
        <w:jc w:val="center"/>
        <w:tblLook w:val="04A0" w:firstRow="1" w:lastRow="0" w:firstColumn="1" w:lastColumn="0" w:noHBand="0" w:noVBand="1"/>
      </w:tblPr>
      <w:tblGrid>
        <w:gridCol w:w="3987"/>
        <w:gridCol w:w="3884"/>
      </w:tblGrid>
      <w:tr w:rsidR="00AB335C" w:rsidRPr="00AB335C" w:rsidTr="00AB335C">
        <w:trPr>
          <w:trHeight w:val="303"/>
          <w:jc w:val="center"/>
        </w:trPr>
        <w:tc>
          <w:tcPr>
            <w:tcW w:w="3987"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Overview of Solution Requirements (Niagara Falls)</w:t>
            </w:r>
          </w:p>
        </w:tc>
        <w:tc>
          <w:tcPr>
            <w:tcW w:w="3884"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1057"/>
          <w:jc w:val="center"/>
        </w:trPr>
        <w:tc>
          <w:tcPr>
            <w:tcW w:w="3987"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&gt;320 Total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&gt;1000 GHz Total CPU</w:t>
            </w:r>
          </w:p>
        </w:tc>
        <w:tc>
          <w:tcPr>
            <w:tcW w:w="3884"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&gt;8.0Tb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&gt;200Tb Usable SSD Storage</w:t>
            </w:r>
          </w:p>
        </w:tc>
      </w:tr>
      <w:tr w:rsidR="00AB335C" w:rsidRPr="00AB335C" w:rsidTr="00AB335C">
        <w:trPr>
          <w:trHeight w:val="656"/>
          <w:jc w:val="center"/>
        </w:trPr>
        <w:tc>
          <w:tcPr>
            <w:tcW w:w="3987"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Overview of Solution Requirements (Allegany)</w:t>
            </w:r>
          </w:p>
        </w:tc>
        <w:tc>
          <w:tcPr>
            <w:tcW w:w="3884"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1012"/>
          <w:jc w:val="center"/>
        </w:trPr>
        <w:tc>
          <w:tcPr>
            <w:tcW w:w="3987"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&gt;100 Total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&gt;300 GHz Total CPU</w:t>
            </w:r>
          </w:p>
        </w:tc>
        <w:tc>
          <w:tcPr>
            <w:tcW w:w="3884"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&gt;1.0Tb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&gt;30Tb Usable SSD Storage</w:t>
            </w:r>
          </w:p>
        </w:tc>
      </w:tr>
      <w:tr w:rsidR="00AB335C" w:rsidRPr="00AB335C" w:rsidTr="00AB335C">
        <w:trPr>
          <w:trHeight w:val="303"/>
          <w:jc w:val="center"/>
        </w:trPr>
        <w:tc>
          <w:tcPr>
            <w:tcW w:w="3987" w:type="dxa"/>
            <w:tcBorders>
              <w:bottom w:val="single" w:sz="4" w:space="0" w:color="auto"/>
              <w:right w:val="nil"/>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Overview of Solution Requirements (Buffalo)</w:t>
            </w:r>
          </w:p>
        </w:tc>
        <w:tc>
          <w:tcPr>
            <w:tcW w:w="3884" w:type="dxa"/>
            <w:tcBorders>
              <w:left w:val="nil"/>
              <w:bottom w:val="single" w:sz="4" w:space="0" w:color="auto"/>
            </w:tcBorders>
            <w:shd w:val="clear" w:color="auto" w:fill="DDDECE"/>
          </w:tcPr>
          <w:p w:rsidR="00AB335C" w:rsidRPr="00AB335C" w:rsidRDefault="00AB335C" w:rsidP="00AB335C">
            <w:pPr>
              <w:spacing w:before="120" w:after="120"/>
              <w:rPr>
                <w:rFonts w:ascii="Arial" w:eastAsia="Times New Roman" w:hAnsi="Arial" w:cs="Arial"/>
                <w:color w:val="808080" w:themeColor="background1" w:themeShade="80"/>
                <w:sz w:val="20"/>
                <w:szCs w:val="20"/>
              </w:rPr>
            </w:pPr>
          </w:p>
        </w:tc>
      </w:tr>
      <w:tr w:rsidR="00AB335C" w:rsidRPr="00AB335C" w:rsidTr="00AB335C">
        <w:trPr>
          <w:trHeight w:val="1057"/>
          <w:jc w:val="center"/>
        </w:trPr>
        <w:tc>
          <w:tcPr>
            <w:tcW w:w="3987" w:type="dxa"/>
            <w:tcBorders>
              <w:righ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&gt;100 Total Cores</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&gt;200 GHz Total CPU</w:t>
            </w:r>
          </w:p>
        </w:tc>
        <w:tc>
          <w:tcPr>
            <w:tcW w:w="3884" w:type="dxa"/>
            <w:tcBorders>
              <w:left w:val="nil"/>
            </w:tcBorders>
          </w:tcPr>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&gt;1.0Tb Total RAM</w:t>
            </w:r>
          </w:p>
          <w:p w:rsidR="00AB335C" w:rsidRPr="00AB335C" w:rsidRDefault="00AB335C" w:rsidP="00AB335C">
            <w:pPr>
              <w:numPr>
                <w:ilvl w:val="0"/>
                <w:numId w:val="9"/>
              </w:numPr>
              <w:spacing w:before="240" w:after="240"/>
              <w:rPr>
                <w:rFonts w:ascii="Arial" w:eastAsia="Times New Roman" w:hAnsi="Arial" w:cs="Arial"/>
                <w:color w:val="808080" w:themeColor="background1" w:themeShade="80"/>
                <w:sz w:val="20"/>
                <w:szCs w:val="20"/>
              </w:rPr>
            </w:pPr>
            <w:r w:rsidRPr="00AB335C">
              <w:rPr>
                <w:rFonts w:ascii="Arial" w:eastAsia="Times New Roman" w:hAnsi="Arial" w:cs="Arial"/>
                <w:color w:val="808080" w:themeColor="background1" w:themeShade="80"/>
                <w:sz w:val="20"/>
                <w:szCs w:val="20"/>
              </w:rPr>
              <w:t>&gt;15Tb Usable SSD Storage</w:t>
            </w:r>
          </w:p>
        </w:tc>
      </w:tr>
    </w:tbl>
    <w:p w:rsidR="00E96538" w:rsidRDefault="00E96538" w:rsidP="00470E46">
      <w:pPr>
        <w:ind w:left="1440"/>
        <w:rPr>
          <w:b/>
          <w:i/>
          <w:color w:val="FF0000"/>
          <w:sz w:val="28"/>
          <w:szCs w:val="28"/>
        </w:rPr>
      </w:pPr>
    </w:p>
    <w:p w:rsidR="004D32F5" w:rsidRDefault="004D32F5" w:rsidP="004D32F5">
      <w:pPr>
        <w:pStyle w:val="Heading2"/>
      </w:pPr>
      <w:bookmarkStart w:id="20" w:name="_Toc17728987"/>
      <w:bookmarkStart w:id="21" w:name="_Toc103767099"/>
      <w:r>
        <w:t>Price/Fee Structure and Terms</w:t>
      </w:r>
      <w:bookmarkEnd w:id="20"/>
      <w:bookmarkEnd w:id="21"/>
    </w:p>
    <w:p w:rsidR="00470E46" w:rsidRPr="00896A34" w:rsidRDefault="00470E46" w:rsidP="00470E46">
      <w:pPr>
        <w:ind w:left="1440"/>
      </w:pPr>
      <w:r w:rsidRPr="00E10382">
        <w:t>Insert a summary table that represents the appropriate pricing/fee structure and duration f</w:t>
      </w:r>
      <w:r w:rsidR="00E10382" w:rsidRPr="00E10382">
        <w:t>or the project being considered</w:t>
      </w:r>
      <w:r w:rsidR="00CA50AA">
        <w:t xml:space="preserve">. </w:t>
      </w:r>
      <w:r w:rsidR="00CA50AA" w:rsidRPr="00896A34">
        <w:t>Please be sure to include the annual maintenance cost for</w:t>
      </w:r>
      <w:r w:rsidR="00FB2F60" w:rsidRPr="00896A34">
        <w:t xml:space="preserve"> all</w:t>
      </w:r>
      <w:r w:rsidR="00CA50AA" w:rsidRPr="00896A34">
        <w:t xml:space="preserve"> five (5) years. </w:t>
      </w:r>
      <w:r w:rsidR="00270950" w:rsidRPr="002A1EA9">
        <w:t>Please provide any maintenance/support costs past year 5 if known or predictable based on equipment proposed.</w:t>
      </w:r>
    </w:p>
    <w:p w:rsidR="00E96538" w:rsidRPr="00342236" w:rsidRDefault="00E96538" w:rsidP="00E96538">
      <w:pPr>
        <w:pStyle w:val="Heading2"/>
        <w:rPr>
          <w:rFonts w:eastAsia="Times New Roman"/>
        </w:rPr>
      </w:pPr>
      <w:bookmarkStart w:id="22" w:name="_Toc103767100"/>
      <w:r w:rsidRPr="00342236">
        <w:rPr>
          <w:rFonts w:eastAsia="Times New Roman"/>
        </w:rPr>
        <w:lastRenderedPageBreak/>
        <w:t>Pricing and Payment Terms</w:t>
      </w:r>
      <w:bookmarkEnd w:id="22"/>
    </w:p>
    <w:p w:rsidR="00E96538" w:rsidRDefault="00E96538" w:rsidP="00E96538">
      <w:pPr>
        <w:ind w:left="720" w:firstLine="720"/>
      </w:pPr>
      <w:r w:rsidRPr="00961C9F">
        <w:t xml:space="preserve">Please provide your most competitive pricing and any additional offers. </w:t>
      </w:r>
    </w:p>
    <w:p w:rsidR="00E96538" w:rsidRPr="002E0C14" w:rsidRDefault="00E96538" w:rsidP="00E96538">
      <w:pPr>
        <w:pStyle w:val="Heading2"/>
      </w:pPr>
      <w:bookmarkStart w:id="23" w:name="_Toc103767101"/>
      <w:r>
        <w:t>Price Escalation</w:t>
      </w:r>
      <w:bookmarkEnd w:id="23"/>
    </w:p>
    <w:p w:rsidR="00E96538" w:rsidRPr="00EA7E75" w:rsidRDefault="00E96538" w:rsidP="00E96538">
      <w:pPr>
        <w:widowControl w:val="0"/>
        <w:kinsoku w:val="0"/>
        <w:spacing w:after="0" w:line="240" w:lineRule="auto"/>
        <w:ind w:left="1440"/>
        <w:jc w:val="both"/>
        <w:rPr>
          <w:rFonts w:eastAsia="Times New Roman" w:cstheme="minorHAnsi"/>
        </w:rPr>
      </w:pPr>
      <w:r w:rsidRPr="00EA7E75">
        <w:rPr>
          <w:rFonts w:eastAsia="Times New Roman" w:cstheme="minorHAnsi"/>
        </w:rPr>
        <w:t>Prices are fixed during the term of the contract, including any renewal term.</w:t>
      </w:r>
    </w:p>
    <w:p w:rsidR="00E96538" w:rsidRPr="00961C9F" w:rsidRDefault="00E96538" w:rsidP="00E96538">
      <w:pPr>
        <w:pStyle w:val="Heading2"/>
        <w:rPr>
          <w:rFonts w:eastAsia="Times New Roman"/>
        </w:rPr>
      </w:pPr>
      <w:bookmarkStart w:id="24" w:name="_Toc103767102"/>
      <w:r w:rsidRPr="00961C9F">
        <w:rPr>
          <w:rFonts w:eastAsia="Times New Roman"/>
        </w:rPr>
        <w:t>Tax Exempt Status</w:t>
      </w:r>
      <w:bookmarkEnd w:id="24"/>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5" w:name="_Toc103767103"/>
      <w:r w:rsidRPr="00961C9F">
        <w:rPr>
          <w:rFonts w:eastAsia="Times New Roman"/>
        </w:rPr>
        <w:t>Payment Terms</w:t>
      </w:r>
      <w:bookmarkEnd w:id="25"/>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6" w:name="_Toc103767104"/>
      <w:r>
        <w:rPr>
          <w:rFonts w:eastAsia="Times New Roman"/>
        </w:rPr>
        <w:t>Supplemental Bidder Information</w:t>
      </w:r>
      <w:bookmarkEnd w:id="26"/>
    </w:p>
    <w:p w:rsidR="00E96538" w:rsidRPr="00961C9F" w:rsidRDefault="00E96538" w:rsidP="00E96538">
      <w:pPr>
        <w:pStyle w:val="Heading2"/>
        <w:rPr>
          <w:rFonts w:eastAsia="Times New Roman"/>
        </w:rPr>
      </w:pPr>
      <w:bookmarkStart w:id="27" w:name="_Toc103767105"/>
      <w:r w:rsidRPr="00961C9F">
        <w:rPr>
          <w:rFonts w:eastAsia="Times New Roman"/>
        </w:rPr>
        <w:t>Business Continuity</w:t>
      </w:r>
      <w:bookmarkEnd w:id="27"/>
    </w:p>
    <w:p w:rsidR="00E96538" w:rsidRPr="00E10382" w:rsidRDefault="00E96538" w:rsidP="00E96538">
      <w:pPr>
        <w:spacing w:after="120" w:line="240" w:lineRule="auto"/>
        <w:ind w:left="1440"/>
        <w:jc w:val="both"/>
        <w:rPr>
          <w:rFonts w:eastAsia="Times New Roman" w:cstheme="minorHAnsi"/>
          <w:b/>
        </w:rPr>
      </w:pPr>
      <w:r w:rsidRPr="00E10382">
        <w:rPr>
          <w:rFonts w:eastAsia="Times New Roman" w:cstheme="minorHAnsi"/>
        </w:rPr>
        <w:t>For RFP’s involving strategic commodities/services, provide an overview of your disaster recovery/business continuity plan (the “Plan”).  The Plan indicates how Bidder minimizes the risk of interruption to Bidder’s ability to provide the goods and/or services contemplated in this RFP in th</w:t>
      </w:r>
      <w:r w:rsidR="00BE26D2">
        <w:rPr>
          <w:rFonts w:eastAsia="Times New Roman" w:cstheme="minorHAnsi"/>
        </w:rPr>
        <w:t>e event of specified occurrence</w:t>
      </w:r>
      <w:r w:rsidRPr="00E10382">
        <w:rPr>
          <w:rFonts w:eastAsia="Times New Roman" w:cstheme="minorHAnsi"/>
        </w:rPr>
        <w:t>; Bidder’s critical supplier strategy to ensure continuity of suppliers in such event; and Bidders  process or criteria for prioritizing customer demands during a crisis.</w:t>
      </w:r>
    </w:p>
    <w:p w:rsidR="00E96538" w:rsidRPr="00961C9F" w:rsidRDefault="00E96538" w:rsidP="00E96538">
      <w:pPr>
        <w:pStyle w:val="Heading2"/>
        <w:rPr>
          <w:rFonts w:eastAsia="Times New Roman"/>
        </w:rPr>
      </w:pPr>
      <w:bookmarkStart w:id="28" w:name="_Toc103767106"/>
      <w:r w:rsidRPr="00961C9F">
        <w:rPr>
          <w:rFonts w:eastAsia="Times New Roman"/>
        </w:rPr>
        <w:t>Conformity of Proposal with SGC Requirements</w:t>
      </w:r>
      <w:bookmarkEnd w:id="28"/>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9" w:name="_Toc103767107"/>
      <w:r w:rsidRPr="00961C9F">
        <w:rPr>
          <w:rFonts w:eastAsia="Times New Roman"/>
        </w:rPr>
        <w:t>Vendor Requirements</w:t>
      </w:r>
      <w:bookmarkEnd w:id="29"/>
    </w:p>
    <w:p w:rsidR="00E96538" w:rsidRPr="00961C9F" w:rsidRDefault="00E96538" w:rsidP="00E96538">
      <w:pPr>
        <w:pStyle w:val="Heading2"/>
        <w:rPr>
          <w:rFonts w:eastAsia="Times New Roman"/>
        </w:rPr>
      </w:pPr>
      <w:bookmarkStart w:id="30" w:name="_Toc103767108"/>
      <w:r w:rsidRPr="00961C9F">
        <w:rPr>
          <w:rFonts w:eastAsia="Times New Roman"/>
        </w:rPr>
        <w:t>Proposal</w:t>
      </w:r>
      <w:bookmarkEnd w:id="30"/>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31" w:name="_Toc103767109"/>
      <w:r w:rsidRPr="00961C9F">
        <w:rPr>
          <w:rFonts w:eastAsia="Times New Roman"/>
        </w:rPr>
        <w:t>Standard Service Agreement</w:t>
      </w:r>
      <w:bookmarkEnd w:id="31"/>
      <w:r w:rsidRPr="00961C9F">
        <w:rPr>
          <w:rFonts w:eastAsia="Times New Roman"/>
        </w:rPr>
        <w:t xml:space="preserve">  </w:t>
      </w:r>
    </w:p>
    <w:p w:rsidR="00E96538" w:rsidRPr="00E10382" w:rsidRDefault="00E96538" w:rsidP="00E96538">
      <w:pPr>
        <w:autoSpaceDE w:val="0"/>
        <w:autoSpaceDN w:val="0"/>
        <w:adjustRightInd w:val="0"/>
        <w:spacing w:after="120" w:line="240" w:lineRule="auto"/>
        <w:ind w:left="1440"/>
        <w:jc w:val="both"/>
        <w:rPr>
          <w:rFonts w:eastAsia="Times New Roman" w:cstheme="minorHAnsi"/>
        </w:rPr>
      </w:pPr>
      <w:r w:rsidRPr="00E10382">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32" w:name="_Toc103767110"/>
      <w:bookmarkStart w:id="33" w:name="OLE_LINK3"/>
      <w:bookmarkStart w:id="34" w:name="OLE_LINK4"/>
      <w:r w:rsidRPr="00961C9F">
        <w:rPr>
          <w:rFonts w:eastAsia="Times New Roman"/>
        </w:rPr>
        <w:t>Data Security</w:t>
      </w:r>
      <w:bookmarkEnd w:id="32"/>
      <w:r w:rsidRPr="00961C9F">
        <w:rPr>
          <w:rFonts w:eastAsia="Times New Roman"/>
        </w:rPr>
        <w:t xml:space="preserve"> </w:t>
      </w:r>
    </w:p>
    <w:p w:rsidR="00E96538" w:rsidRPr="00942750" w:rsidRDefault="00407EB8" w:rsidP="00E96538">
      <w:pPr>
        <w:spacing w:after="120" w:line="240" w:lineRule="auto"/>
        <w:ind w:left="1440"/>
        <w:jc w:val="both"/>
        <w:rPr>
          <w:rFonts w:eastAsia="Times New Roman" w:cstheme="minorHAnsi"/>
        </w:rPr>
      </w:pPr>
      <w:r w:rsidRPr="00942750">
        <w:rPr>
          <w:rFonts w:eastAsia="Times New Roman" w:cstheme="minorHAnsi"/>
          <w:sz w:val="24"/>
          <w:szCs w:val="24"/>
        </w:rPr>
        <w:t xml:space="preserve">If applicable and </w:t>
      </w:r>
      <w:r w:rsidRPr="00942750">
        <w:rPr>
          <w:rFonts w:eastAsia="Times New Roman" w:cstheme="minorHAnsi"/>
        </w:rPr>
        <w:t>u</w:t>
      </w:r>
      <w:r w:rsidR="00E96538" w:rsidRPr="00942750">
        <w:rPr>
          <w:rFonts w:eastAsia="Times New Roman" w:cstheme="minorHAnsi"/>
        </w:rPr>
        <w:t>pon request, Successful Bidder/Vendor will supply a current Statement on Standards for A</w:t>
      </w:r>
      <w:r w:rsidR="007F794E" w:rsidRPr="00942750">
        <w:rPr>
          <w:rFonts w:eastAsia="Times New Roman" w:cstheme="minorHAnsi"/>
        </w:rPr>
        <w:t xml:space="preserve">ttestation Engagements [SSAE] </w:t>
      </w:r>
      <w:r w:rsidR="00E96538" w:rsidRPr="00942750">
        <w:rPr>
          <w:rFonts w:eastAsia="Times New Roman" w:cstheme="minorHAnsi"/>
        </w:rPr>
        <w:t xml:space="preserve">SOC 2 report issued by an independent auditor. Software supplied must not contain any code that weakens the security of SGC’s IT systems and applications, including computer viruses and all other </w:t>
      </w:r>
      <w:r w:rsidR="00E96538" w:rsidRPr="00942750">
        <w:rPr>
          <w:rFonts w:eastAsia="Times New Roman" w:cstheme="minorHAnsi"/>
        </w:rPr>
        <w:lastRenderedPageBreak/>
        <w:t>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35" w:name="_Toc103767111"/>
      <w:r w:rsidRPr="00961C9F">
        <w:rPr>
          <w:rFonts w:eastAsia="Times New Roman"/>
        </w:rPr>
        <w:t>Directives and Minimum Internal Control Standards</w:t>
      </w:r>
      <w:bookmarkEnd w:id="35"/>
      <w:r w:rsidRPr="00961C9F">
        <w:rPr>
          <w:rFonts w:eastAsia="Times New Roman"/>
        </w:rPr>
        <w:t xml:space="preserve"> </w:t>
      </w:r>
    </w:p>
    <w:p w:rsidR="00D72C9A" w:rsidRPr="00942750" w:rsidRDefault="00E96538" w:rsidP="00E96538">
      <w:pPr>
        <w:ind w:left="1440"/>
        <w:jc w:val="both"/>
        <w:rPr>
          <w:rFonts w:eastAsia="Times New Roman" w:cstheme="minorHAnsi"/>
        </w:rPr>
      </w:pPr>
      <w:r w:rsidRPr="00942750">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33"/>
      <w:bookmarkEnd w:id="34"/>
    </w:p>
    <w:p w:rsidR="00D72C9A" w:rsidRDefault="00D72C9A" w:rsidP="00D72C9A">
      <w:pPr>
        <w:pStyle w:val="Heading2"/>
        <w:rPr>
          <w:rFonts w:eastAsia="Times New Roman"/>
        </w:rPr>
      </w:pPr>
      <w:bookmarkStart w:id="36" w:name="_Toc103767112"/>
      <w:r>
        <w:rPr>
          <w:rFonts w:eastAsia="Times New Roman"/>
        </w:rPr>
        <w:t>Seneca Nation Business Registration Fee (SNIBRF)</w:t>
      </w:r>
      <w:bookmarkEnd w:id="36"/>
    </w:p>
    <w:p w:rsidR="00D72C9A" w:rsidRPr="00407EB8" w:rsidRDefault="00D72C9A" w:rsidP="00407EB8">
      <w:pPr>
        <w:rPr>
          <w:rFonts w:eastAsia="Times New Roman" w:cstheme="minorHAnsi"/>
          <w:color w:val="FF0000"/>
        </w:rPr>
      </w:pPr>
      <w:r>
        <w:tab/>
      </w:r>
      <w:r w:rsidR="006A7F0E">
        <w:tab/>
      </w:r>
      <w:r w:rsidRPr="00942750">
        <w:rPr>
          <w:rFonts w:eastAsia="Times New Roman" w:cstheme="minorHAnsi"/>
        </w:rPr>
        <w:t xml:space="preserve">Vendor must pay the SNIBRF of $750 directly to the Seneca Gaming Authority once total </w:t>
      </w:r>
      <w:r w:rsidRPr="00942750">
        <w:rPr>
          <w:rFonts w:eastAsia="Times New Roman" w:cstheme="minorHAnsi"/>
        </w:rPr>
        <w:tab/>
      </w:r>
      <w:r w:rsidRPr="00942750">
        <w:rPr>
          <w:rFonts w:eastAsia="Times New Roman" w:cstheme="minorHAnsi"/>
        </w:rPr>
        <w:tab/>
        <w:t xml:space="preserve">payment to the vendor exceeds $10,000.  Failure to pay the fee when required may </w:t>
      </w:r>
      <w:r w:rsidRPr="00942750">
        <w:rPr>
          <w:rFonts w:eastAsia="Times New Roman" w:cstheme="minorHAnsi"/>
        </w:rPr>
        <w:tab/>
      </w:r>
      <w:r w:rsidRPr="00942750">
        <w:rPr>
          <w:rFonts w:eastAsia="Times New Roman" w:cstheme="minorHAnsi"/>
        </w:rPr>
        <w:tab/>
      </w:r>
      <w:r w:rsidRPr="00942750">
        <w:rPr>
          <w:rFonts w:eastAsia="Times New Roman" w:cstheme="minorHAnsi"/>
        </w:rPr>
        <w:tab/>
        <w:t>result in termination of further business with Seneca Gaming Corporation.</w:t>
      </w:r>
    </w:p>
    <w:p w:rsidR="00D20F91" w:rsidRPr="00407EB8" w:rsidRDefault="00D20F91" w:rsidP="00D72C9A">
      <w:pPr>
        <w:ind w:left="1440"/>
        <w:jc w:val="both"/>
        <w:rPr>
          <w:rFonts w:asciiTheme="majorHAnsi" w:eastAsia="Times New Roman" w:hAnsiTheme="majorHAnsi" w:cstheme="minorHAnsi"/>
          <w:b/>
          <w:color w:val="2E74B5" w:themeColor="accent1" w:themeShade="BF"/>
          <w:sz w:val="26"/>
          <w:szCs w:val="26"/>
        </w:rPr>
      </w:pPr>
    </w:p>
    <w:p w:rsidR="00E96538" w:rsidRDefault="00E96538" w:rsidP="00407EB8">
      <w:pPr>
        <w:pStyle w:val="Heading2"/>
        <w:numPr>
          <w:ilvl w:val="0"/>
          <w:numId w:val="0"/>
        </w:numPr>
        <w:ind w:left="720"/>
        <w:rPr>
          <w:rFonts w:eastAsia="Times New Roman"/>
          <w:sz w:val="32"/>
          <w:szCs w:val="32"/>
        </w:rPr>
      </w:pPr>
      <w:r>
        <w:rPr>
          <w:rFonts w:eastAsia="Times New Roman"/>
        </w:rPr>
        <w:br w:type="page"/>
      </w:r>
    </w:p>
    <w:p w:rsidR="00E96538" w:rsidRDefault="00E96538" w:rsidP="00E96538">
      <w:pPr>
        <w:pStyle w:val="Heading1"/>
        <w:rPr>
          <w:rFonts w:eastAsia="Times New Roman"/>
        </w:rPr>
      </w:pPr>
      <w:bookmarkStart w:id="37" w:name="_Toc103767113"/>
      <w:r>
        <w:rPr>
          <w:rFonts w:eastAsia="Times New Roman"/>
        </w:rPr>
        <w:lastRenderedPageBreak/>
        <w:t xml:space="preserve">Bidder </w:t>
      </w:r>
      <w:r w:rsidRPr="0034489C">
        <w:rPr>
          <w:rFonts w:eastAsia="Times New Roman"/>
        </w:rPr>
        <w:t>Cert</w:t>
      </w:r>
      <w:r>
        <w:rPr>
          <w:rFonts w:eastAsia="Times New Roman"/>
        </w:rPr>
        <w:t>ifications and Representations</w:t>
      </w:r>
      <w:bookmarkEnd w:id="3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5"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7A" w:rsidRDefault="00DE5F7A">
      <w:pPr>
        <w:spacing w:after="0" w:line="240" w:lineRule="auto"/>
      </w:pPr>
      <w:r>
        <w:separator/>
      </w:r>
    </w:p>
  </w:endnote>
  <w:endnote w:type="continuationSeparator" w:id="0">
    <w:p w:rsidR="00DE5F7A" w:rsidRDefault="00DE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CA50AA" w:rsidRDefault="00CA50AA"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249E4">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7A" w:rsidRDefault="00DE5F7A">
      <w:pPr>
        <w:spacing w:after="0" w:line="240" w:lineRule="auto"/>
      </w:pPr>
      <w:r>
        <w:separator/>
      </w:r>
    </w:p>
  </w:footnote>
  <w:footnote w:type="continuationSeparator" w:id="0">
    <w:p w:rsidR="00DE5F7A" w:rsidRDefault="00DE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000DDC"/>
    <w:multiLevelType w:val="hybridMultilevel"/>
    <w:tmpl w:val="E26E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D243F1"/>
    <w:multiLevelType w:val="hybridMultilevel"/>
    <w:tmpl w:val="5254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F15FF"/>
    <w:multiLevelType w:val="hybridMultilevel"/>
    <w:tmpl w:val="10C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54B1A93"/>
    <w:multiLevelType w:val="hybridMultilevel"/>
    <w:tmpl w:val="63C26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5"/>
  </w:num>
  <w:num w:numId="6">
    <w:abstractNumId w:val="0"/>
  </w:num>
  <w:num w:numId="7">
    <w:abstractNumId w:val="9"/>
  </w:num>
  <w:num w:numId="8">
    <w:abstractNumId w:val="1"/>
  </w:num>
  <w:num w:numId="9">
    <w:abstractNumId w:val="11"/>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175F"/>
    <w:rsid w:val="00101A6B"/>
    <w:rsid w:val="00117FE5"/>
    <w:rsid w:val="001363D7"/>
    <w:rsid w:val="001A7532"/>
    <w:rsid w:val="001C2B7E"/>
    <w:rsid w:val="00204490"/>
    <w:rsid w:val="0023713C"/>
    <w:rsid w:val="00237E51"/>
    <w:rsid w:val="00270950"/>
    <w:rsid w:val="002A1EA9"/>
    <w:rsid w:val="002F0B5F"/>
    <w:rsid w:val="003E25F2"/>
    <w:rsid w:val="00407EB8"/>
    <w:rsid w:val="004512B3"/>
    <w:rsid w:val="00456E00"/>
    <w:rsid w:val="00457F12"/>
    <w:rsid w:val="00470E46"/>
    <w:rsid w:val="004D32F5"/>
    <w:rsid w:val="004F2163"/>
    <w:rsid w:val="005B5AC2"/>
    <w:rsid w:val="006A381D"/>
    <w:rsid w:val="006A7F0E"/>
    <w:rsid w:val="0077626A"/>
    <w:rsid w:val="007846D3"/>
    <w:rsid w:val="00792226"/>
    <w:rsid w:val="007F794E"/>
    <w:rsid w:val="00806F87"/>
    <w:rsid w:val="00834241"/>
    <w:rsid w:val="00896A34"/>
    <w:rsid w:val="009179B4"/>
    <w:rsid w:val="00923D6D"/>
    <w:rsid w:val="00942750"/>
    <w:rsid w:val="0095321E"/>
    <w:rsid w:val="009535D9"/>
    <w:rsid w:val="009D2F2D"/>
    <w:rsid w:val="00A26BA3"/>
    <w:rsid w:val="00A663CB"/>
    <w:rsid w:val="00A66CA8"/>
    <w:rsid w:val="00AA465D"/>
    <w:rsid w:val="00AB06C7"/>
    <w:rsid w:val="00AB3258"/>
    <w:rsid w:val="00AB335C"/>
    <w:rsid w:val="00B04250"/>
    <w:rsid w:val="00B96925"/>
    <w:rsid w:val="00BE26D2"/>
    <w:rsid w:val="00C450C6"/>
    <w:rsid w:val="00C60AFF"/>
    <w:rsid w:val="00CA50AA"/>
    <w:rsid w:val="00CD2084"/>
    <w:rsid w:val="00CD49EE"/>
    <w:rsid w:val="00D20F91"/>
    <w:rsid w:val="00D62B86"/>
    <w:rsid w:val="00D72C9A"/>
    <w:rsid w:val="00DD5126"/>
    <w:rsid w:val="00DD5E91"/>
    <w:rsid w:val="00DE24F4"/>
    <w:rsid w:val="00DE5F7A"/>
    <w:rsid w:val="00E06936"/>
    <w:rsid w:val="00E10382"/>
    <w:rsid w:val="00E249E4"/>
    <w:rsid w:val="00E46A94"/>
    <w:rsid w:val="00E906D4"/>
    <w:rsid w:val="00E93229"/>
    <w:rsid w:val="00E96538"/>
    <w:rsid w:val="00EA7E75"/>
    <w:rsid w:val="00EB53A5"/>
    <w:rsid w:val="00EE6F09"/>
    <w:rsid w:val="00F054E5"/>
    <w:rsid w:val="00F630A2"/>
    <w:rsid w:val="00F75F30"/>
    <w:rsid w:val="00FB2F60"/>
    <w:rsid w:val="00F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2A4E"/>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table" w:styleId="TableGrid">
    <w:name w:val="Table Grid"/>
    <w:basedOn w:val="TableNormal"/>
    <w:uiPriority w:val="59"/>
    <w:rsid w:val="00AB33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hyperlink" Target="https://senecacasinos.com/media/zqdd2j1f/sgc-standard-terms-and-conditions-v-10-30-20.pdf" TargetMode="Externa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nvlpubs.nist.gov/nistpubs/SpecialPublications/NIST.SP.800-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Jason Romine</cp:lastModifiedBy>
  <cp:revision>21</cp:revision>
  <cp:lastPrinted>2022-05-18T16:01:00Z</cp:lastPrinted>
  <dcterms:created xsi:type="dcterms:W3CDTF">2022-05-16T17:47:00Z</dcterms:created>
  <dcterms:modified xsi:type="dcterms:W3CDTF">2022-05-24T18:21:00Z</dcterms:modified>
</cp:coreProperties>
</file>