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rsidR="00E96538" w:rsidRDefault="00E96538" w:rsidP="00E96538">
          <w:pPr>
            <w:ind w:left="603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092950" cy="8636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7092950" cy="863600"/>
                            </a:xfrm>
                            <a:prstGeom prst="rect">
                              <a:avLst/>
                            </a:prstGeom>
                            <a:noFill/>
                            <a:ln w="6350">
                              <a:noFill/>
                            </a:ln>
                            <a:effectLst/>
                          </wps:spPr>
                          <wps:txbx>
                            <w:txbxContent>
                              <w:p w:rsidR="00D33D9B" w:rsidRPr="00D33D9B" w:rsidRDefault="00D33D9B" w:rsidP="00E96538">
                                <w:pPr>
                                  <w:pStyle w:val="NoSpacing"/>
                                  <w:jc w:val="right"/>
                                  <w:rPr>
                                    <w:color w:val="5B9BD5" w:themeColor="accent1"/>
                                    <w:sz w:val="44"/>
                                    <w:szCs w:val="44"/>
                                  </w:rPr>
                                </w:pPr>
                                <w:r w:rsidRPr="00D33D9B">
                                  <w:rPr>
                                    <w:color w:val="5B9BD5" w:themeColor="accent1"/>
                                    <w:sz w:val="44"/>
                                    <w:szCs w:val="44"/>
                                  </w:rPr>
                                  <w:t xml:space="preserve">FORMTASTIC ANNUAL SUPPORT </w:t>
                                </w:r>
                              </w:p>
                              <w:p w:rsidR="004F2163" w:rsidRPr="00E96538" w:rsidRDefault="004F2163" w:rsidP="00E96538">
                                <w:pPr>
                                  <w:pStyle w:val="NoSpacing"/>
                                  <w:jc w:val="right"/>
                                  <w:rPr>
                                    <w:color w:val="595959" w:themeColor="text1" w:themeTint="A6"/>
                                    <w:sz w:val="40"/>
                                    <w:szCs w:val="40"/>
                                  </w:rPr>
                                </w:pPr>
                                <w:r w:rsidRPr="00D33D9B">
                                  <w:rPr>
                                    <w:color w:val="5B9BD5" w:themeColor="accent1"/>
                                    <w:sz w:val="44"/>
                                    <w:szCs w:val="44"/>
                                  </w:rPr>
                                  <w:t>RFP</w:t>
                                </w:r>
                                <w:r w:rsidR="00D33D9B" w:rsidRPr="00D33D9B">
                                  <w:rPr>
                                    <w:color w:val="5B9BD5" w:themeColor="accent1"/>
                                    <w:sz w:val="44"/>
                                    <w:szCs w:val="44"/>
                                  </w:rPr>
                                  <w:t xml:space="preserve"> #SGC-0013-21CS</w:t>
                                </w:r>
                                <w:r w:rsidRPr="00E96538">
                                  <w:rPr>
                                    <w:color w:val="5B9BD5" w:themeColor="accent1"/>
                                    <w:sz w:val="40"/>
                                    <w:szCs w:val="40"/>
                                    <w:highlight w:val="yellow"/>
                                  </w:rPr>
                                  <w:t xml:space="preserve"> </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558.5pt;height:6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" filled="f" stroked="f" strokeweight=".5pt">
                    <v:textbox inset="126pt,0,54pt,0">
                      <w:txbxContent>
                        <w:p w:rsidR="00D33D9B" w:rsidRPr="00D33D9B" w:rsidRDefault="00D33D9B" w:rsidP="00E96538">
                          <w:pPr>
                            <w:pStyle w:val="NoSpacing"/>
                            <w:jc w:val="right"/>
                            <w:rPr>
                              <w:color w:val="5B9BD5" w:themeColor="accent1"/>
                              <w:sz w:val="44"/>
                              <w:szCs w:val="44"/>
                            </w:rPr>
                          </w:pPr>
                          <w:r w:rsidRPr="00D33D9B">
                            <w:rPr>
                              <w:color w:val="5B9BD5" w:themeColor="accent1"/>
                              <w:sz w:val="44"/>
                              <w:szCs w:val="44"/>
                            </w:rPr>
                            <w:t xml:space="preserve">FORMTASTIC ANNUAL SUPPORT </w:t>
                          </w:r>
                        </w:p>
                        <w:p w:rsidR="004F2163" w:rsidRPr="00E96538" w:rsidRDefault="004F2163" w:rsidP="00E96538">
                          <w:pPr>
                            <w:pStyle w:val="NoSpacing"/>
                            <w:jc w:val="right"/>
                            <w:rPr>
                              <w:color w:val="595959" w:themeColor="text1" w:themeTint="A6"/>
                              <w:sz w:val="40"/>
                              <w:szCs w:val="40"/>
                            </w:rPr>
                          </w:pPr>
                          <w:r w:rsidRPr="00D33D9B">
                            <w:rPr>
                              <w:color w:val="5B9BD5" w:themeColor="accent1"/>
                              <w:sz w:val="44"/>
                              <w:szCs w:val="44"/>
                            </w:rPr>
                            <w:t>RFP</w:t>
                          </w:r>
                          <w:r w:rsidR="00D33D9B" w:rsidRPr="00D33D9B">
                            <w:rPr>
                              <w:color w:val="5B9BD5" w:themeColor="accent1"/>
                              <w:sz w:val="44"/>
                              <w:szCs w:val="44"/>
                            </w:rPr>
                            <w:t xml:space="preserve"> #SGC-0013-21CS</w:t>
                          </w:r>
                          <w:r w:rsidRPr="00E96538">
                            <w:rPr>
                              <w:color w:val="5B9BD5" w:themeColor="accent1"/>
                              <w:sz w:val="40"/>
                              <w:szCs w:val="40"/>
                              <w:highlight w:val="yellow"/>
                            </w:rPr>
                            <w:t xml:space="preserve"> </w:t>
                          </w: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Pr="00D33D9B" w:rsidRDefault="00D33D9B" w:rsidP="00E96538">
                                <w:pPr>
                                  <w:pStyle w:val="NoSpacing"/>
                                  <w:jc w:val="right"/>
                                  <w:rPr>
                                    <w:color w:val="5B9BD5" w:themeColor="accent1"/>
                                    <w:sz w:val="36"/>
                                    <w:szCs w:val="36"/>
                                  </w:rPr>
                                </w:pPr>
                                <w:r w:rsidRPr="00D33D9B">
                                  <w:rPr>
                                    <w:color w:val="5B9BD5" w:themeColor="accent1"/>
                                    <w:sz w:val="36"/>
                                    <w:szCs w:val="36"/>
                                  </w:rPr>
                                  <w:t>January 8, 2021</w:t>
                                </w:r>
                              </w:p>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Pr="00D33D9B" w:rsidRDefault="00D33D9B" w:rsidP="00E96538">
                          <w:pPr>
                            <w:pStyle w:val="NoSpacing"/>
                            <w:jc w:val="right"/>
                            <w:rPr>
                              <w:color w:val="5B9BD5" w:themeColor="accent1"/>
                              <w:sz w:val="36"/>
                              <w:szCs w:val="36"/>
                            </w:rPr>
                          </w:pPr>
                          <w:r w:rsidRPr="00D33D9B">
                            <w:rPr>
                              <w:color w:val="5B9BD5" w:themeColor="accent1"/>
                              <w:sz w:val="36"/>
                              <w:szCs w:val="36"/>
                            </w:rPr>
                            <w:t>January 8, 2021</w:t>
                          </w:r>
                        </w:p>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E07CBD"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23713C"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7"/>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8"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D33D9B" w:rsidRDefault="00D33D9B" w:rsidP="00D33D9B">
          <w:pPr>
            <w:pStyle w:val="TOCHeading"/>
            <w:numPr>
              <w:ilvl w:val="0"/>
              <w:numId w:val="0"/>
            </w:numPr>
          </w:pPr>
        </w:p>
        <w:p w:rsidR="00D33D9B" w:rsidRDefault="00E07CBD" w:rsidP="00D33D9B">
          <w:pPr>
            <w:rPr>
              <w:b/>
              <w:bCs/>
              <w:noProof/>
            </w:rPr>
          </w:pPr>
        </w:p>
      </w:sdtContent>
    </w:sdt>
    <w:bookmarkStart w:id="0" w:name="_Toc17988920" w:displacedByCustomXml="prev"/>
    <w:p w:rsidR="00E96538" w:rsidRPr="00D33D9B" w:rsidRDefault="00E96538" w:rsidP="00D33D9B">
      <w:pPr>
        <w:rPr>
          <w:sz w:val="32"/>
          <w:szCs w:val="32"/>
        </w:rPr>
      </w:pPr>
      <w:r w:rsidRPr="00D33D9B">
        <w:rPr>
          <w:sz w:val="32"/>
          <w:szCs w:val="32"/>
        </w:rPr>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0"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17988921"/>
      <w:r>
        <w:t>RFP Objective</w:t>
      </w:r>
      <w:bookmarkEnd w:id="1"/>
    </w:p>
    <w:p w:rsidR="00E96538" w:rsidRPr="00AB31A0" w:rsidRDefault="00E96538" w:rsidP="00E96538">
      <w:pPr>
        <w:spacing w:before="120" w:after="120" w:line="240" w:lineRule="auto"/>
        <w:ind w:left="720"/>
        <w:rPr>
          <w:rFonts w:eastAsia="Times New Roman" w:cstheme="minorHAnsi"/>
          <w:sz w:val="24"/>
          <w:szCs w:val="24"/>
        </w:rPr>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D33D9B">
        <w:rPr>
          <w:rFonts w:eastAsia="Times New Roman" w:cstheme="minorHAnsi"/>
        </w:rPr>
        <w:t xml:space="preserve">vendor who can provide annual software maintenance &amp; support for the </w:t>
      </w:r>
      <w:proofErr w:type="spellStart"/>
      <w:r w:rsidR="00D33D9B">
        <w:rPr>
          <w:rFonts w:eastAsia="Times New Roman" w:cstheme="minorHAnsi"/>
        </w:rPr>
        <w:t>Formtastic</w:t>
      </w:r>
      <w:proofErr w:type="spellEnd"/>
      <w:r w:rsidR="00D33D9B">
        <w:rPr>
          <w:rFonts w:eastAsia="Times New Roman" w:cstheme="minorHAnsi"/>
        </w:rPr>
        <w:t xml:space="preserve"> product. We wish to consider an annual price, and, a two year guaranteed price with one option year. Additional information can be found in Section III </w:t>
      </w:r>
      <w:proofErr w:type="gramStart"/>
      <w:r w:rsidR="00D33D9B">
        <w:rPr>
          <w:rFonts w:eastAsia="Times New Roman" w:cstheme="minorHAnsi"/>
        </w:rPr>
        <w:t>A</w:t>
      </w:r>
      <w:proofErr w:type="gramEnd"/>
      <w:r w:rsidR="00D33D9B">
        <w:rPr>
          <w:rFonts w:eastAsia="Times New Roman" w:cstheme="minorHAnsi"/>
        </w:rPr>
        <w:t xml:space="preserve"> &amp; B. </w:t>
      </w:r>
    </w:p>
    <w:p w:rsidR="00E96538" w:rsidRDefault="00E96538" w:rsidP="00E96538">
      <w:pPr>
        <w:pStyle w:val="Heading1"/>
      </w:pPr>
      <w:bookmarkStart w:id="2" w:name="_Toc17988922"/>
      <w:r>
        <w:t>RFP Administrative Information</w:t>
      </w:r>
      <w:bookmarkEnd w:id="2"/>
    </w:p>
    <w:p w:rsidR="00E96538" w:rsidRDefault="00E96538" w:rsidP="00E96538">
      <w:pPr>
        <w:pStyle w:val="Heading2"/>
      </w:pPr>
      <w:bookmarkStart w:id="3" w:name="_Toc17988923"/>
      <w:r>
        <w:t>Contact Information</w:t>
      </w:r>
      <w:bookmarkEnd w:id="3"/>
    </w:p>
    <w:p w:rsidR="00E96538" w:rsidRPr="00CC3D40" w:rsidRDefault="00E96538" w:rsidP="00E96538">
      <w:pPr>
        <w:ind w:left="1440"/>
        <w:jc w:val="both"/>
      </w:pPr>
      <w:r>
        <w:t xml:space="preserve">Please use the following name and email address for all correspondence with SGC concerning this RFP.  Suppliers who solicit information about this RFP either directly or indirectly from other sources </w:t>
      </w:r>
      <w:proofErr w:type="gramStart"/>
      <w:r>
        <w:t>will be disqualified</w:t>
      </w:r>
      <w:proofErr w:type="gramEnd"/>
      <w:r>
        <w:t>.</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E96538">
      <w:pPr>
        <w:spacing w:before="120" w:after="120"/>
        <w:ind w:left="1440" w:firstLine="720"/>
        <w:rPr>
          <w:sz w:val="24"/>
          <w:szCs w:val="24"/>
        </w:rPr>
      </w:pPr>
      <w:r>
        <w:rPr>
          <w:sz w:val="24"/>
          <w:szCs w:val="24"/>
        </w:rPr>
        <w:t>Name</w:t>
      </w:r>
      <w:r w:rsidRPr="00456200">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sidR="00D33D9B">
        <w:rPr>
          <w:sz w:val="24"/>
          <w:szCs w:val="24"/>
        </w:rPr>
        <w:t>Charles Saxe</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D33D9B">
        <w:rPr>
          <w:sz w:val="24"/>
          <w:szCs w:val="24"/>
        </w:rPr>
        <w:t>716-501-2161</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D33D9B">
        <w:rPr>
          <w:sz w:val="24"/>
          <w:szCs w:val="24"/>
        </w:rPr>
        <w:t>csaxe@senecacasinos.com</w:t>
      </w:r>
    </w:p>
    <w:p w:rsidR="00E96538" w:rsidRDefault="00E96538" w:rsidP="00E96538">
      <w:pPr>
        <w:pStyle w:val="Heading2"/>
      </w:pPr>
      <w:bookmarkStart w:id="4" w:name="_Toc17988924"/>
      <w:r>
        <w:t>Schedule of Events</w:t>
      </w:r>
      <w:bookmarkEnd w:id="4"/>
    </w:p>
    <w:p w:rsidR="00E96538" w:rsidRDefault="00E96538" w:rsidP="00E96538">
      <w:pPr>
        <w:spacing w:before="120" w:after="120"/>
        <w:ind w:left="1440" w:firstLine="720"/>
        <w:rPr>
          <w:sz w:val="24"/>
          <w:szCs w:val="24"/>
        </w:rPr>
      </w:pPr>
      <w:r>
        <w:rPr>
          <w:sz w:val="24"/>
          <w:szCs w:val="24"/>
        </w:rPr>
        <w:t>RFP issue d</w:t>
      </w:r>
      <w:r w:rsidRPr="00456200">
        <w:rPr>
          <w:sz w:val="24"/>
          <w:szCs w:val="24"/>
        </w:rPr>
        <w:t xml:space="preserve">ate: </w:t>
      </w:r>
      <w:r>
        <w:rPr>
          <w:sz w:val="24"/>
          <w:szCs w:val="24"/>
        </w:rPr>
        <w:t xml:space="preserve"> </w:t>
      </w:r>
      <w:r>
        <w:rPr>
          <w:sz w:val="24"/>
          <w:szCs w:val="24"/>
        </w:rPr>
        <w:tab/>
      </w:r>
      <w:r>
        <w:rPr>
          <w:sz w:val="24"/>
          <w:szCs w:val="24"/>
        </w:rPr>
        <w:tab/>
      </w:r>
      <w:r>
        <w:rPr>
          <w:sz w:val="24"/>
          <w:szCs w:val="24"/>
        </w:rPr>
        <w:tab/>
      </w:r>
      <w:r w:rsidR="00D33D9B">
        <w:rPr>
          <w:sz w:val="24"/>
          <w:szCs w:val="24"/>
        </w:rPr>
        <w:t>1/8/21</w:t>
      </w:r>
    </w:p>
    <w:p w:rsidR="00E96538" w:rsidRPr="00AB31A0" w:rsidRDefault="00E96538" w:rsidP="00E96538">
      <w:pPr>
        <w:spacing w:before="120" w:after="240"/>
        <w:ind w:left="5760" w:hanging="3600"/>
        <w:rPr>
          <w:b/>
          <w:sz w:val="24"/>
          <w:szCs w:val="24"/>
        </w:rPr>
      </w:pPr>
      <w:r w:rsidRPr="00AB31A0">
        <w:rPr>
          <w:b/>
          <w:sz w:val="24"/>
          <w:szCs w:val="24"/>
          <w:u w:val="single"/>
        </w:rPr>
        <w:t>Bid Submission Deadline</w:t>
      </w:r>
      <w:r w:rsidRPr="00AB31A0">
        <w:rPr>
          <w:b/>
          <w:sz w:val="24"/>
          <w:szCs w:val="24"/>
        </w:rPr>
        <w:t xml:space="preserve">: </w:t>
      </w:r>
      <w:r w:rsidRPr="00AB31A0">
        <w:rPr>
          <w:b/>
          <w:sz w:val="24"/>
          <w:szCs w:val="24"/>
        </w:rPr>
        <w:tab/>
      </w:r>
      <w:r w:rsidR="00D33D9B">
        <w:rPr>
          <w:b/>
          <w:sz w:val="24"/>
          <w:szCs w:val="24"/>
        </w:rPr>
        <w:t xml:space="preserve">Friday, January 15, 2021 </w:t>
      </w:r>
      <w:r w:rsidRPr="00AB31A0">
        <w:rPr>
          <w:b/>
          <w:sz w:val="24"/>
          <w:szCs w:val="24"/>
        </w:rPr>
        <w:t>by 5:00 PM Eastern Time</w:t>
      </w:r>
    </w:p>
    <w:p w:rsidR="00E96538" w:rsidRDefault="00E96538" w:rsidP="00E96538">
      <w:pPr>
        <w:pStyle w:val="Heading2"/>
        <w:rPr>
          <w:rFonts w:eastAsia="Times New Roman"/>
        </w:rPr>
      </w:pPr>
      <w:bookmarkStart w:id="5" w:name="_Toc17988925"/>
      <w:r>
        <w:rPr>
          <w:rFonts w:eastAsia="Times New Roman"/>
        </w:rPr>
        <w:t>Intent to Bid</w:t>
      </w:r>
      <w:bookmarkEnd w:id="5"/>
    </w:p>
    <w:p w:rsidR="00E96538" w:rsidRDefault="00E96538" w:rsidP="00E96538">
      <w:pPr>
        <w:ind w:left="1440"/>
        <w:jc w:val="both"/>
      </w:pPr>
      <w:r>
        <w:t>Potential Bidders must submit an email confirming their intent to bid to the Coordinating Buyer by the date and time indicated in the above schedule of events.</w:t>
      </w:r>
    </w:p>
    <w:p w:rsidR="00E96538" w:rsidRDefault="00E96538" w:rsidP="00E96538">
      <w:pPr>
        <w:ind w:left="1440"/>
        <w:jc w:val="both"/>
      </w:pPr>
      <w:r>
        <w:lastRenderedPageBreak/>
        <w:t xml:space="preserve">Submission of the intent to bid notice constitutes the Potential Bidder’s acceptance of the RFP schedule, procedures evaluation criteria and other administrative instructions of this RFP. </w:t>
      </w:r>
    </w:p>
    <w:p w:rsidR="00456E00" w:rsidRPr="00CC3D40" w:rsidRDefault="00D33D9B" w:rsidP="00456E00">
      <w:pPr>
        <w:pStyle w:val="Heading2"/>
        <w:rPr>
          <w:rFonts w:eastAsia="Times New Roman"/>
        </w:rPr>
      </w:pPr>
      <w:bookmarkStart w:id="6" w:name="_Toc17728971"/>
      <w:bookmarkStart w:id="7" w:name="_Toc17988927"/>
      <w:r>
        <w:rPr>
          <w:rFonts w:eastAsia="Times New Roman"/>
        </w:rPr>
        <w:t>S</w:t>
      </w:r>
      <w:r w:rsidR="00456E00" w:rsidRPr="00CC3D40">
        <w:rPr>
          <w:rFonts w:eastAsia="Times New Roman"/>
        </w:rPr>
        <w:t>ubmission of Proposals</w:t>
      </w:r>
      <w:bookmarkEnd w:id="6"/>
      <w:bookmarkEnd w:id="7"/>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w:t>
      </w:r>
      <w:proofErr w:type="gramStart"/>
      <w:r w:rsidRPr="000F29A3">
        <w:rPr>
          <w:rFonts w:eastAsia="Times New Roman" w:cstheme="minorHAnsi"/>
        </w:rPr>
        <w:t>must be submitted</w:t>
      </w:r>
      <w:proofErr w:type="gramEnd"/>
      <w:r w:rsidRPr="000F29A3">
        <w:rPr>
          <w:rFonts w:eastAsia="Times New Roman" w:cstheme="minorHAnsi"/>
        </w:rPr>
        <w:t xml:space="preserve">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xml:space="preserve">.  Bidders are encourage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w:t>
      </w:r>
      <w:proofErr w:type="gramStart"/>
      <w:r>
        <w:t>is authorized</w:t>
      </w:r>
      <w:proofErr w:type="gramEnd"/>
      <w:r>
        <w:t xml:space="preserve">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 xml:space="preserve">Bidders </w:t>
      </w:r>
      <w:proofErr w:type="gramStart"/>
      <w:r>
        <w:t>are invited</w:t>
      </w:r>
      <w:proofErr w:type="gramEnd"/>
      <w:r>
        <w:t xml:space="preserve">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8" w:name="_Toc17988930"/>
      <w:r w:rsidRPr="00325DC1">
        <w:rPr>
          <w:rFonts w:eastAsia="Times New Roman"/>
        </w:rPr>
        <w:t>Propo</w:t>
      </w:r>
      <w:r>
        <w:rPr>
          <w:rFonts w:eastAsia="Times New Roman"/>
        </w:rPr>
        <w:t>sal Evaluation/Vendor Selection</w:t>
      </w:r>
      <w:bookmarkEnd w:id="8"/>
    </w:p>
    <w:p w:rsidR="00E96538" w:rsidRPr="00294673" w:rsidRDefault="00E96538" w:rsidP="00E96538">
      <w:pPr>
        <w:spacing w:after="120" w:line="240" w:lineRule="auto"/>
        <w:ind w:left="1440"/>
        <w:jc w:val="both"/>
      </w:pPr>
      <w:r w:rsidRPr="00294673">
        <w:t xml:space="preserve">Proposals </w:t>
      </w:r>
      <w:proofErr w:type="gramStart"/>
      <w:r w:rsidRPr="00294673">
        <w:t>will be evaluated</w:t>
      </w:r>
      <w:proofErr w:type="gramEnd"/>
      <w:r w:rsidRPr="00294673">
        <w:t xml:space="preserve"> to determine their completeness and compliance with the mandatory requirements and qualifications specified throughout this document.  Failure to comply with one or more of these requirements may result in the proposal </w:t>
      </w:r>
      <w:proofErr w:type="gramStart"/>
      <w:r w:rsidRPr="00294673">
        <w:t>being rejected</w:t>
      </w:r>
      <w:proofErr w:type="gramEnd"/>
      <w:r w:rsidRPr="00294673">
        <w:t xml:space="preserve"> as non-responsive. SGC reserves the right to waive deviations it deems non-material and/or to reject </w:t>
      </w:r>
      <w:proofErr w:type="gramStart"/>
      <w:r w:rsidRPr="00294673">
        <w:t>any and all</w:t>
      </w:r>
      <w:proofErr w:type="gramEnd"/>
      <w:r w:rsidRPr="00294673">
        <w:t xml:space="preserve"> Proposals in its sole discretion.</w:t>
      </w:r>
    </w:p>
    <w:p w:rsidR="00E96538" w:rsidRPr="00294673" w:rsidRDefault="00E96538" w:rsidP="00E96538">
      <w:pPr>
        <w:spacing w:after="120" w:line="240" w:lineRule="auto"/>
        <w:ind w:left="1440"/>
        <w:jc w:val="both"/>
      </w:pPr>
      <w:r w:rsidRPr="00294673">
        <w:t xml:space="preserve">The successful Bidder(s) </w:t>
      </w:r>
      <w:proofErr w:type="gramStart"/>
      <w:r w:rsidRPr="00294673">
        <w:t>will be notified</w:t>
      </w:r>
      <w:proofErr w:type="gramEnd"/>
      <w:r w:rsidRPr="00294673">
        <w:t xml:space="preserve">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w:t>
      </w:r>
      <w:proofErr w:type="gramStart"/>
      <w:r w:rsidRPr="00294673">
        <w:t>these</w:t>
      </w:r>
      <w:proofErr w:type="gramEnd"/>
      <w:r w:rsidRPr="00294673">
        <w:t xml:space="preserve"> actions that the successful Bidder will be considered a Vendor of SGC. </w:t>
      </w:r>
    </w:p>
    <w:p w:rsidR="00E96538" w:rsidRPr="00294673" w:rsidRDefault="00E96538" w:rsidP="00E96538">
      <w:pPr>
        <w:spacing w:after="120" w:line="240" w:lineRule="auto"/>
        <w:ind w:left="1440"/>
        <w:jc w:val="both"/>
      </w:pPr>
      <w:r w:rsidRPr="00294673">
        <w:t xml:space="preserve">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w:t>
      </w:r>
      <w:proofErr w:type="gramStart"/>
      <w:r w:rsidRPr="00294673">
        <w:t>must be completed</w:t>
      </w:r>
      <w:proofErr w:type="gramEnd"/>
      <w:r w:rsidRPr="00294673">
        <w:t xml:space="preserve"> and, if applicable, the requisite SGA vendor license issued, prior to signature of the contract. Vendor licenses and fees </w:t>
      </w:r>
      <w:proofErr w:type="gramStart"/>
      <w:r w:rsidRPr="00294673">
        <w:t>must be renewed</w:t>
      </w:r>
      <w:proofErr w:type="gramEnd"/>
      <w:r w:rsidRPr="00294673">
        <w:t xml:space="preserve"> every two years. SGA </w:t>
      </w:r>
      <w:proofErr w:type="gramStart"/>
      <w:r w:rsidRPr="00294673">
        <w:t>may also, in an appropriate case, require</w:t>
      </w:r>
      <w:proofErr w:type="gramEnd"/>
      <w:r w:rsidRPr="00294673">
        <w:t xml:space="preserve"> the licensure of individual employees who perform certain services that are or may be closely associated with SGC’s casino operation. As SGA retains the discretion to make this type of determination on a </w:t>
      </w:r>
      <w:r w:rsidRPr="00294673">
        <w:lastRenderedPageBreak/>
        <w:t>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9" w:name="_Toc17988931"/>
      <w:r>
        <w:rPr>
          <w:rFonts w:eastAsia="Times New Roman"/>
        </w:rPr>
        <w:t>General Bidder Information</w:t>
      </w:r>
      <w:bookmarkEnd w:id="9"/>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w:t>
      </w:r>
      <w:proofErr w:type="gramStart"/>
      <w:r w:rsidRPr="00EA5550">
        <w:t>be held</w:t>
      </w:r>
      <w:proofErr w:type="gramEnd"/>
      <w:r w:rsidRPr="00EA5550">
        <w:t xml:space="preserve"> unopened and confidential until after the closing date and time.  At the bid opening, Proposals </w:t>
      </w:r>
      <w:proofErr w:type="gramStart"/>
      <w:r w:rsidRPr="00EA5550">
        <w:t>will be opened</w:t>
      </w:r>
      <w:proofErr w:type="gramEnd"/>
      <w:r w:rsidRPr="00EA5550">
        <w:t xml:space="preserve">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w:t>
      </w:r>
      <w:proofErr w:type="gramStart"/>
      <w:r w:rsidRPr="00EA5550">
        <w:t>ninety (90) days</w:t>
      </w:r>
      <w:proofErr w:type="gramEnd"/>
      <w:r w:rsidRPr="00EA5550">
        <w:t xml:space="preserve">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SGC gives priority to Bidders who are Native American, minority, women-owned or small disadvantaged businesses. If your company falls into any of these 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proofErr w:type="gramStart"/>
      <w:r w:rsidRPr="00EA5550">
        <w:rPr>
          <w:rFonts w:eastAsia="Times New Roman" w:cstheme="minorHAnsi"/>
        </w:rPr>
        <w:t>are accepted</w:t>
      </w:r>
      <w:proofErr w:type="gramEnd"/>
      <w:r w:rsidRPr="00EA5550">
        <w:rPr>
          <w:rFonts w:eastAsia="Times New Roman" w:cstheme="minorHAnsi"/>
        </w:rPr>
        <w:t xml:space="preserve"> based on the following conditions: SGC will consider alternative proposals from Bidders provided they have submitted a response based on the original requirements. The alternative Proposal </w:t>
      </w:r>
      <w:proofErr w:type="gramStart"/>
      <w:r w:rsidRPr="00EA5550">
        <w:rPr>
          <w:rFonts w:eastAsia="Times New Roman" w:cstheme="minorHAnsi"/>
        </w:rPr>
        <w:t>will be submitted</w:t>
      </w:r>
      <w:proofErr w:type="gramEnd"/>
      <w:r w:rsidRPr="00EA5550">
        <w:rPr>
          <w:rFonts w:eastAsia="Times New Roman" w:cstheme="minorHAnsi"/>
        </w:rPr>
        <w:t xml:space="preserve"> separate and apart from the basic Proposal. It </w:t>
      </w:r>
      <w:proofErr w:type="gramStart"/>
      <w:r w:rsidRPr="00EA5550">
        <w:rPr>
          <w:rFonts w:eastAsia="Times New Roman" w:cstheme="minorHAnsi"/>
        </w:rPr>
        <w:t>is assumed</w:t>
      </w:r>
      <w:proofErr w:type="gramEnd"/>
      <w:r w:rsidRPr="00EA5550">
        <w:rPr>
          <w:rFonts w:eastAsia="Times New Roman" w:cstheme="minorHAnsi"/>
        </w:rPr>
        <w:t xml:space="preserve">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w:t>
      </w:r>
      <w:proofErr w:type="gramStart"/>
      <w:r w:rsidRPr="00EA5550">
        <w:rPr>
          <w:rFonts w:eastAsia="Times New Roman" w:cstheme="minorHAnsi"/>
        </w:rPr>
        <w:t>should be attached</w:t>
      </w:r>
      <w:proofErr w:type="gramEnd"/>
      <w:r w:rsidRPr="00EA5550">
        <w:rPr>
          <w:rFonts w:eastAsia="Times New Roman" w:cstheme="minorHAnsi"/>
        </w:rPr>
        <w:t xml:space="preserve">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xml:space="preserve">. Bidders </w:t>
      </w:r>
      <w:proofErr w:type="gramStart"/>
      <w:r w:rsidRPr="00EA5550">
        <w:rPr>
          <w:rFonts w:eastAsia="Times New Roman" w:cstheme="minorHAnsi"/>
        </w:rPr>
        <w:t>are advised</w:t>
      </w:r>
      <w:proofErr w:type="gramEnd"/>
      <w:r w:rsidRPr="00EA5550">
        <w:rPr>
          <w:rFonts w:eastAsia="Times New Roman" w:cstheme="minorHAnsi"/>
        </w:rPr>
        <w:t xml:space="preserve">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0" w:name="_Toc17988932"/>
      <w:r w:rsidRPr="00961C9F">
        <w:rPr>
          <w:rFonts w:eastAsia="Times New Roman"/>
        </w:rPr>
        <w:t>SGC Standard Terms and Conditions</w:t>
      </w:r>
      <w:bookmarkEnd w:id="10"/>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1" w:history="1">
        <w:r w:rsidR="0023713C" w:rsidRPr="0023713C">
          <w:rPr>
            <w:rStyle w:val="Hyperlink"/>
          </w:rPr>
          <w:t>https://senecacasinos.com/media/zqdd2j1f/sgc-standard-terms-and-conditions-v-10-30-20.pdf</w:t>
        </w:r>
      </w:hyperlink>
      <w:r w:rsidR="00B04250">
        <w:t>.</w:t>
      </w:r>
    </w:p>
    <w:p w:rsidR="00E96538"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8F0374" w:rsidRDefault="008F0374" w:rsidP="00E96538">
      <w:pPr>
        <w:spacing w:after="120" w:line="240" w:lineRule="auto"/>
        <w:ind w:left="1440"/>
        <w:jc w:val="both"/>
        <w:rPr>
          <w:rFonts w:eastAsia="Times New Roman" w:cstheme="minorHAnsi"/>
        </w:rPr>
      </w:pPr>
    </w:p>
    <w:p w:rsidR="008F0374" w:rsidRPr="00EA5550" w:rsidRDefault="008F0374" w:rsidP="00E96538">
      <w:pPr>
        <w:spacing w:after="120" w:line="240" w:lineRule="auto"/>
        <w:ind w:left="1440"/>
        <w:jc w:val="both"/>
        <w:rPr>
          <w:rFonts w:eastAsia="Times New Roman" w:cstheme="minorHAnsi"/>
        </w:rPr>
      </w:pPr>
    </w:p>
    <w:p w:rsidR="00E96538" w:rsidRPr="00D059D0" w:rsidRDefault="00E96538" w:rsidP="00E96538">
      <w:pPr>
        <w:pStyle w:val="Heading1"/>
        <w:rPr>
          <w:rFonts w:eastAsia="Times New Roman"/>
        </w:rPr>
      </w:pPr>
      <w:bookmarkStart w:id="11" w:name="_Toc17988933"/>
      <w:r w:rsidRPr="00D059D0">
        <w:rPr>
          <w:rFonts w:eastAsia="Times New Roman"/>
        </w:rPr>
        <w:lastRenderedPageBreak/>
        <w:t>Provisions Applicable to the Contract</w:t>
      </w:r>
      <w:bookmarkEnd w:id="11"/>
    </w:p>
    <w:p w:rsidR="008F0374" w:rsidRDefault="00E96538" w:rsidP="008F0374">
      <w:pPr>
        <w:pStyle w:val="Heading2"/>
        <w:rPr>
          <w:rFonts w:eastAsia="Times New Roman"/>
        </w:rPr>
      </w:pPr>
      <w:bookmarkStart w:id="12" w:name="_Toc17988934"/>
      <w:r>
        <w:rPr>
          <w:rFonts w:eastAsia="Times New Roman"/>
        </w:rPr>
        <w:t>Agreement Term</w:t>
      </w:r>
      <w:bookmarkEnd w:id="12"/>
    </w:p>
    <w:p w:rsidR="008F0374" w:rsidRDefault="008F0374" w:rsidP="008F0374">
      <w:r>
        <w:t xml:space="preserve">                              Two options </w:t>
      </w:r>
      <w:proofErr w:type="gramStart"/>
      <w:r>
        <w:t>will be considered</w:t>
      </w:r>
      <w:bookmarkStart w:id="13" w:name="_GoBack"/>
      <w:bookmarkEnd w:id="13"/>
      <w:proofErr w:type="gramEnd"/>
      <w:r>
        <w:t>:</w:t>
      </w:r>
    </w:p>
    <w:p w:rsidR="008F0374" w:rsidRDefault="008F0374" w:rsidP="008F0374">
      <w:r>
        <w:t xml:space="preserve">                              Option #1 – One year annual price</w:t>
      </w:r>
      <w:r w:rsidR="002C72F1">
        <w:t xml:space="preserve">. Support from 2/6/21 thru 2/5/22. </w:t>
      </w:r>
    </w:p>
    <w:p w:rsidR="002C72F1" w:rsidRDefault="008F0374" w:rsidP="002C72F1">
      <w:pPr>
        <w:pStyle w:val="NoSpacing"/>
        <w:ind w:left="1530"/>
      </w:pPr>
      <w:r>
        <w:t xml:space="preserve">Option #2 – Two year contract with one year option to renew, annual price for </w:t>
      </w:r>
      <w:proofErr w:type="gramStart"/>
      <w:r>
        <w:t xml:space="preserve">each </w:t>
      </w:r>
      <w:r w:rsidR="002C72F1">
        <w:t xml:space="preserve"> year</w:t>
      </w:r>
      <w:proofErr w:type="gramEnd"/>
      <w:r w:rsidR="002C72F1">
        <w:t xml:space="preserve"> guaranteed.        </w:t>
      </w:r>
    </w:p>
    <w:p w:rsidR="008F0374" w:rsidRDefault="002C72F1" w:rsidP="002C72F1">
      <w:pPr>
        <w:pStyle w:val="NoSpacing"/>
        <w:ind w:left="1530"/>
      </w:pPr>
      <w:r>
        <w:t xml:space="preserve">  </w:t>
      </w:r>
    </w:p>
    <w:p w:rsidR="00E96538" w:rsidRDefault="00E96538" w:rsidP="00E96538">
      <w:pPr>
        <w:pStyle w:val="Heading2"/>
      </w:pPr>
      <w:bookmarkStart w:id="14" w:name="_Toc17988935"/>
      <w:r>
        <w:t>Requirements</w:t>
      </w:r>
      <w:r w:rsidR="004D32F5">
        <w:t xml:space="preserve"> Specification</w:t>
      </w:r>
      <w:bookmarkEnd w:id="14"/>
    </w:p>
    <w:p w:rsidR="00E96538" w:rsidRDefault="00E07CBD" w:rsidP="002C72F1">
      <w:r>
        <w:t xml:space="preserve">                          </w:t>
      </w:r>
      <w:r w:rsidR="002C72F1">
        <w:t xml:space="preserve">                              </w:t>
      </w:r>
      <w:r w:rsidR="002C72F1">
        <w:rPr>
          <w:noProof/>
        </w:rPr>
        <w:drawing>
          <wp:inline distT="0" distB="0" distL="0" distR="0" wp14:anchorId="7D77E647" wp14:editId="48DD738D">
            <wp:extent cx="5943600" cy="130746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307465"/>
                    </a:xfrm>
                    <a:prstGeom prst="rect">
                      <a:avLst/>
                    </a:prstGeom>
                  </pic:spPr>
                </pic:pic>
              </a:graphicData>
            </a:graphic>
          </wp:inline>
        </w:drawing>
      </w:r>
    </w:p>
    <w:p w:rsidR="002C72F1" w:rsidRPr="002C72F1" w:rsidRDefault="002C72F1" w:rsidP="002C72F1">
      <w:r>
        <w:t xml:space="preserve">    </w:t>
      </w:r>
    </w:p>
    <w:p w:rsidR="00E96538" w:rsidRPr="00342236" w:rsidRDefault="00E96538" w:rsidP="00E96538">
      <w:pPr>
        <w:pStyle w:val="Heading2"/>
        <w:rPr>
          <w:rFonts w:eastAsia="Times New Roman"/>
        </w:rPr>
      </w:pPr>
      <w:bookmarkStart w:id="15" w:name="_Toc17988937"/>
      <w:r w:rsidRPr="00342236">
        <w:rPr>
          <w:rFonts w:eastAsia="Times New Roman"/>
        </w:rPr>
        <w:t>Pricing and Payment Terms</w:t>
      </w:r>
      <w:bookmarkEnd w:id="15"/>
    </w:p>
    <w:p w:rsidR="00E96538" w:rsidRDefault="00E96538" w:rsidP="00E96538">
      <w:pPr>
        <w:ind w:left="720" w:firstLine="720"/>
      </w:pPr>
      <w:r w:rsidRPr="00961C9F">
        <w:t xml:space="preserve">Please provide your most competitive pricing and any additional offers. </w:t>
      </w:r>
    </w:p>
    <w:p w:rsidR="00E96538" w:rsidRPr="002E0C14" w:rsidRDefault="00E96538" w:rsidP="00E96538">
      <w:pPr>
        <w:pStyle w:val="Heading2"/>
      </w:pPr>
      <w:bookmarkStart w:id="16" w:name="_Toc17988939"/>
      <w:r>
        <w:t>Price Escalation</w:t>
      </w:r>
      <w:bookmarkEnd w:id="16"/>
    </w:p>
    <w:p w:rsidR="00E96538" w:rsidRDefault="00E96538" w:rsidP="00E96538">
      <w:pPr>
        <w:widowControl w:val="0"/>
        <w:kinsoku w:val="0"/>
        <w:spacing w:after="0" w:line="240" w:lineRule="auto"/>
        <w:ind w:left="1440"/>
        <w:jc w:val="both"/>
        <w:rPr>
          <w:rFonts w:eastAsia="Times New Roman" w:cstheme="minorHAnsi"/>
        </w:rPr>
      </w:pPr>
      <w:r w:rsidRPr="002C72F1">
        <w:rPr>
          <w:rFonts w:eastAsia="Times New Roman" w:cstheme="minorHAnsi"/>
        </w:rPr>
        <w:t xml:space="preserve">Prices </w:t>
      </w:r>
      <w:proofErr w:type="gramStart"/>
      <w:r w:rsidRPr="002C72F1">
        <w:rPr>
          <w:rFonts w:eastAsia="Times New Roman" w:cstheme="minorHAnsi"/>
        </w:rPr>
        <w:t>are fixed</w:t>
      </w:r>
      <w:proofErr w:type="gramEnd"/>
      <w:r w:rsidRPr="002C72F1">
        <w:rPr>
          <w:rFonts w:eastAsia="Times New Roman" w:cstheme="minorHAnsi"/>
        </w:rPr>
        <w:t xml:space="preserve"> during the term of the contract, including any renewal term.</w:t>
      </w:r>
    </w:p>
    <w:p w:rsidR="002C72F1" w:rsidRPr="002C72F1" w:rsidRDefault="002C72F1" w:rsidP="00E96538">
      <w:pPr>
        <w:widowControl w:val="0"/>
        <w:kinsoku w:val="0"/>
        <w:spacing w:after="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17" w:name="_Toc17988943"/>
      <w:r w:rsidRPr="00961C9F">
        <w:rPr>
          <w:rFonts w:eastAsia="Times New Roman"/>
        </w:rPr>
        <w:t>Tax Exempt Status</w:t>
      </w:r>
      <w:bookmarkEnd w:id="17"/>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18" w:name="_Toc17988944"/>
      <w:r w:rsidRPr="00961C9F">
        <w:rPr>
          <w:rFonts w:eastAsia="Times New Roman"/>
        </w:rPr>
        <w:t>Payment Terms</w:t>
      </w:r>
      <w:bookmarkEnd w:id="18"/>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19" w:name="_Toc17988945"/>
      <w:r>
        <w:rPr>
          <w:rFonts w:eastAsia="Times New Roman"/>
        </w:rPr>
        <w:t>Supplemental Bidder Information</w:t>
      </w:r>
      <w:bookmarkEnd w:id="19"/>
    </w:p>
    <w:p w:rsidR="00E96538" w:rsidRPr="00961C9F" w:rsidRDefault="00E96538" w:rsidP="00E96538">
      <w:pPr>
        <w:pStyle w:val="Heading2"/>
        <w:rPr>
          <w:rFonts w:eastAsia="Times New Roman"/>
        </w:rPr>
      </w:pPr>
      <w:bookmarkStart w:id="20" w:name="_Toc17988947"/>
      <w:r w:rsidRPr="00961C9F">
        <w:rPr>
          <w:rFonts w:eastAsia="Times New Roman"/>
        </w:rPr>
        <w:t>Conformity of Proposal with SGC Requirements</w:t>
      </w:r>
      <w:bookmarkEnd w:id="20"/>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Default="00E96538" w:rsidP="00E96538">
      <w:pPr>
        <w:pStyle w:val="Heading1"/>
        <w:rPr>
          <w:rFonts w:eastAsia="Times New Roman"/>
        </w:rPr>
      </w:pPr>
      <w:bookmarkStart w:id="21" w:name="_Toc17988948"/>
      <w:r w:rsidRPr="00961C9F">
        <w:rPr>
          <w:rFonts w:eastAsia="Times New Roman"/>
        </w:rPr>
        <w:lastRenderedPageBreak/>
        <w:t>Vendor Requirements</w:t>
      </w:r>
      <w:bookmarkEnd w:id="21"/>
    </w:p>
    <w:p w:rsidR="00E07CBD" w:rsidRPr="00E07CBD" w:rsidRDefault="00E07CBD" w:rsidP="00E07CBD"/>
    <w:p w:rsidR="00E96538" w:rsidRPr="00961C9F" w:rsidRDefault="00E96538" w:rsidP="00E96538">
      <w:pPr>
        <w:pStyle w:val="Heading2"/>
        <w:rPr>
          <w:rFonts w:eastAsia="Times New Roman"/>
        </w:rPr>
      </w:pPr>
      <w:bookmarkStart w:id="22" w:name="_Toc17988949"/>
      <w:r w:rsidRPr="00961C9F">
        <w:rPr>
          <w:rFonts w:eastAsia="Times New Roman"/>
        </w:rPr>
        <w:t>Proposal</w:t>
      </w:r>
      <w:bookmarkEnd w:id="22"/>
      <w:r w:rsidRPr="00961C9F">
        <w:rPr>
          <w:rFonts w:eastAsia="Times New Roman"/>
        </w:rPr>
        <w:t xml:space="preserve"> </w:t>
      </w:r>
    </w:p>
    <w:p w:rsidR="00E96538" w:rsidRDefault="00E96538" w:rsidP="00E96538">
      <w:pPr>
        <w:ind w:left="1440"/>
        <w:jc w:val="both"/>
      </w:pPr>
      <w:r w:rsidRPr="00961C9F">
        <w:t xml:space="preserve">Successful Bidders should expect that their response to the RFP and any accompanying supporting materials </w:t>
      </w:r>
      <w:proofErr w:type="gramStart"/>
      <w:r w:rsidRPr="00961C9F">
        <w:t>will</w:t>
      </w:r>
      <w:proofErr w:type="gramEnd"/>
      <w:r w:rsidRPr="00961C9F">
        <w:t xml:space="preserve"> be incorporated into any contract signed with SGC</w:t>
      </w:r>
      <w:r>
        <w:t xml:space="preserve">. </w:t>
      </w:r>
    </w:p>
    <w:p w:rsidR="00E07CBD" w:rsidRDefault="00E07CBD" w:rsidP="00E96538">
      <w:pPr>
        <w:ind w:left="1440"/>
        <w:jc w:val="both"/>
      </w:pPr>
    </w:p>
    <w:p w:rsidR="00E96538" w:rsidRPr="00961C9F" w:rsidRDefault="00E96538" w:rsidP="00E96538">
      <w:pPr>
        <w:pStyle w:val="Heading2"/>
        <w:rPr>
          <w:rFonts w:eastAsia="Times New Roman"/>
        </w:rPr>
      </w:pPr>
      <w:bookmarkStart w:id="23" w:name="_Toc17988951"/>
      <w:r w:rsidRPr="00961C9F">
        <w:rPr>
          <w:rFonts w:eastAsia="Times New Roman"/>
        </w:rPr>
        <w:t>Standard Service Agreement</w:t>
      </w:r>
      <w:bookmarkEnd w:id="23"/>
      <w:r w:rsidRPr="00961C9F">
        <w:rPr>
          <w:rFonts w:eastAsia="Times New Roman"/>
        </w:rPr>
        <w:t xml:space="preserve">  </w:t>
      </w:r>
    </w:p>
    <w:p w:rsidR="00E96538" w:rsidRDefault="00E96538" w:rsidP="00E96538">
      <w:pPr>
        <w:autoSpaceDE w:val="0"/>
        <w:autoSpaceDN w:val="0"/>
        <w:adjustRightInd w:val="0"/>
        <w:spacing w:after="120" w:line="240" w:lineRule="auto"/>
        <w:ind w:left="1440"/>
        <w:jc w:val="both"/>
        <w:rPr>
          <w:rFonts w:eastAsia="Times New Roman" w:cstheme="minorHAnsi"/>
        </w:rPr>
      </w:pPr>
      <w:r w:rsidRPr="002C72F1">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E07CBD" w:rsidRPr="002C72F1" w:rsidRDefault="00E07CBD" w:rsidP="00E96538">
      <w:pPr>
        <w:autoSpaceDE w:val="0"/>
        <w:autoSpaceDN w:val="0"/>
        <w:adjustRightInd w:val="0"/>
        <w:spacing w:after="12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24" w:name="_Toc17988955"/>
      <w:bookmarkStart w:id="25" w:name="OLE_LINK3"/>
      <w:bookmarkStart w:id="26" w:name="OLE_LINK4"/>
      <w:r w:rsidRPr="00961C9F">
        <w:rPr>
          <w:rFonts w:eastAsia="Times New Roman"/>
        </w:rPr>
        <w:t>Data Security</w:t>
      </w:r>
      <w:bookmarkEnd w:id="24"/>
      <w:r w:rsidRPr="00961C9F">
        <w:rPr>
          <w:rFonts w:eastAsia="Times New Roman"/>
        </w:rPr>
        <w:t xml:space="preserve"> </w:t>
      </w:r>
    </w:p>
    <w:p w:rsidR="00E96538" w:rsidRDefault="00E96538" w:rsidP="00E96538">
      <w:pPr>
        <w:spacing w:after="120" w:line="240" w:lineRule="auto"/>
        <w:ind w:left="1440"/>
        <w:jc w:val="both"/>
        <w:rPr>
          <w:rFonts w:eastAsia="Times New Roman" w:cstheme="minorHAnsi"/>
        </w:rPr>
      </w:pPr>
      <w:r w:rsidRPr="002C72F1">
        <w:rPr>
          <w:rFonts w:eastAsia="Times New Roman" w:cstheme="minorHAnsi"/>
        </w:rPr>
        <w:t>Upon request, Successful Bidder/Vendor will supply a current Statement on Standards for A</w:t>
      </w:r>
      <w:r w:rsidR="007F794E" w:rsidRPr="002C72F1">
        <w:rPr>
          <w:rFonts w:eastAsia="Times New Roman" w:cstheme="minorHAnsi"/>
        </w:rPr>
        <w:t xml:space="preserve">ttestation Engagements [SSAE] </w:t>
      </w:r>
      <w:r w:rsidRPr="002C72F1">
        <w:rPr>
          <w:rFonts w:eastAsia="Times New Roman" w:cstheme="minorHAnsi"/>
        </w:rPr>
        <w:t xml:space="preserve">SOC 2 report issued by an independent auditor. Software supplied must not contain any code that weakens the security of SGC’s IT systems and applications, including computer viruses and all other forms of malicious code. Successful Bidder/Vendor must share with SGC in writing all security-relevant information regarding the vulnerabilities, risks and threats to its software immediately upon identification. SGC reserves the right at any time during the term of the contract, to conduct an audit of Vendor’s data security measures, either by means of its own personnel or through a service provider retained by SGC. Should the audit reveal that Vendor’s data security processes and procedures are inadequate or that Vendor is in breach of this provision, the cost of the audit shall be borne by Vendor, and SGC may, in its discretion, forthwith terminate the contract or any business relationship between SGC and </w:t>
      </w:r>
      <w:proofErr w:type="gramStart"/>
      <w:r w:rsidRPr="002C72F1">
        <w:rPr>
          <w:rFonts w:eastAsia="Times New Roman" w:cstheme="minorHAnsi"/>
        </w:rPr>
        <w:t>Vendor.</w:t>
      </w:r>
      <w:proofErr w:type="gramEnd"/>
    </w:p>
    <w:p w:rsidR="00E07CBD" w:rsidRPr="002C72F1" w:rsidRDefault="00E07CBD" w:rsidP="00E96538">
      <w:pPr>
        <w:spacing w:after="120" w:line="240" w:lineRule="auto"/>
        <w:ind w:left="1440"/>
        <w:jc w:val="both"/>
        <w:rPr>
          <w:rFonts w:eastAsia="Times New Roman" w:cstheme="minorHAnsi"/>
        </w:rPr>
      </w:pPr>
    </w:p>
    <w:p w:rsidR="00E96538" w:rsidRPr="00961C9F" w:rsidRDefault="00E96538" w:rsidP="00E96538">
      <w:pPr>
        <w:pStyle w:val="Heading2"/>
        <w:rPr>
          <w:rFonts w:eastAsia="Times New Roman"/>
        </w:rPr>
      </w:pPr>
      <w:bookmarkStart w:id="27" w:name="_Toc17988956"/>
      <w:r w:rsidRPr="00961C9F">
        <w:rPr>
          <w:rFonts w:eastAsia="Times New Roman"/>
        </w:rPr>
        <w:t>Directives and Minimum Internal Control Standards</w:t>
      </w:r>
      <w:bookmarkEnd w:id="27"/>
      <w:r w:rsidRPr="00961C9F">
        <w:rPr>
          <w:rFonts w:eastAsia="Times New Roman"/>
        </w:rPr>
        <w:t xml:space="preserve"> </w:t>
      </w:r>
    </w:p>
    <w:p w:rsidR="00E07CBD" w:rsidRDefault="00E96538" w:rsidP="00E96538">
      <w:pPr>
        <w:ind w:left="1440"/>
        <w:jc w:val="both"/>
        <w:rPr>
          <w:rFonts w:eastAsia="Times New Roman" w:cstheme="minorHAnsi"/>
        </w:rPr>
      </w:pPr>
      <w:r w:rsidRPr="00E07CBD">
        <w:rPr>
          <w:rFonts w:eastAsia="Times New Roman" w:cstheme="minorHAnsi"/>
        </w:rPr>
        <w:t>Vendor must comply with SGC’s reasonable directives as regards IT security and other matters. In addition, as contemplated in § 542.16 of NIGC Information Technology MICS, Vendor must comply with SGC’s internal control standards, including change control procedures and SGC hereby reserves the right to monitor and audit compliance with said internal control procedures, either directly or through an appointed representative such as an external auditor.</w:t>
      </w:r>
      <w:bookmarkEnd w:id="25"/>
      <w:bookmarkEnd w:id="26"/>
    </w:p>
    <w:p w:rsidR="00E07CBD" w:rsidRDefault="00E07CBD" w:rsidP="00E96538">
      <w:pPr>
        <w:ind w:left="1440"/>
        <w:jc w:val="both"/>
        <w:rPr>
          <w:rFonts w:eastAsia="Times New Roman" w:cstheme="minorHAnsi"/>
        </w:rPr>
      </w:pPr>
    </w:p>
    <w:p w:rsidR="00E07CBD" w:rsidRDefault="00E07CBD" w:rsidP="00E96538">
      <w:pPr>
        <w:ind w:left="1440"/>
        <w:jc w:val="both"/>
        <w:rPr>
          <w:rFonts w:eastAsia="Times New Roman" w:cstheme="minorHAnsi"/>
        </w:rPr>
      </w:pPr>
    </w:p>
    <w:p w:rsidR="00E96538" w:rsidRDefault="00E96538" w:rsidP="00E96538">
      <w:pPr>
        <w:ind w:left="1440"/>
        <w:jc w:val="both"/>
        <w:rPr>
          <w:rFonts w:asciiTheme="majorHAnsi" w:eastAsia="Times New Roman" w:hAnsiTheme="majorHAnsi" w:cstheme="majorBidi"/>
          <w:color w:val="2E74B5" w:themeColor="accent1" w:themeShade="BF"/>
          <w:sz w:val="32"/>
          <w:szCs w:val="32"/>
        </w:rPr>
      </w:pPr>
      <w:r>
        <w:rPr>
          <w:rFonts w:eastAsia="Times New Roman"/>
        </w:rPr>
        <w:br w:type="page"/>
      </w:r>
    </w:p>
    <w:p w:rsidR="00E96538" w:rsidRDefault="00E96538" w:rsidP="00E96538">
      <w:pPr>
        <w:pStyle w:val="Heading1"/>
        <w:rPr>
          <w:rFonts w:eastAsia="Times New Roman"/>
        </w:rPr>
      </w:pPr>
      <w:bookmarkStart w:id="28" w:name="_Toc17988957"/>
      <w:r>
        <w:rPr>
          <w:rFonts w:eastAsia="Times New Roman"/>
        </w:rPr>
        <w:lastRenderedPageBreak/>
        <w:t xml:space="preserve">Bidder </w:t>
      </w:r>
      <w:r w:rsidRPr="0034489C">
        <w:rPr>
          <w:rFonts w:eastAsia="Times New Roman"/>
        </w:rPr>
        <w:t>Cert</w:t>
      </w:r>
      <w:r>
        <w:rPr>
          <w:rFonts w:eastAsia="Times New Roman"/>
        </w:rPr>
        <w:t>ifications and Representations</w:t>
      </w:r>
      <w:bookmarkEnd w:id="28"/>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 xml:space="preserve">Bidder is aware of, </w:t>
      </w:r>
      <w:proofErr w:type="gramStart"/>
      <w:r w:rsidRPr="000D3766">
        <w:rPr>
          <w:rFonts w:eastAsia="Times New Roman" w:cstheme="minorHAnsi"/>
        </w:rPr>
        <w:t>is fully informed</w:t>
      </w:r>
      <w:proofErr w:type="gramEnd"/>
      <w:r w:rsidRPr="000D3766">
        <w:rPr>
          <w:rFonts w:eastAsia="Times New Roman" w:cstheme="minorHAnsi"/>
        </w:rPr>
        <w:t xml:space="preserve">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 xml:space="preserve">Bidder understands the requirements and specifications set forth in this RFP and affirms that no compensation </w:t>
      </w:r>
      <w:proofErr w:type="gramStart"/>
      <w:r w:rsidRPr="000D3766">
        <w:rPr>
          <w:rFonts w:eastAsia="Times New Roman" w:cstheme="minorHAnsi"/>
        </w:rPr>
        <w:t>has been received</w:t>
      </w:r>
      <w:proofErr w:type="gramEnd"/>
      <w:r w:rsidRPr="000D3766">
        <w:rPr>
          <w:rFonts w:eastAsia="Times New Roman" w:cstheme="minorHAnsi"/>
        </w:rPr>
        <w:t xml:space="preserve">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3"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 xml:space="preserve">I, the undersigned, hereby certify that I </w:t>
      </w:r>
      <w:proofErr w:type="gramStart"/>
      <w:r w:rsidRPr="00060A6C">
        <w:rPr>
          <w:rFonts w:eastAsia="Times New Roman" w:cstheme="minorHAnsi"/>
          <w:b/>
          <w:sz w:val="24"/>
          <w:szCs w:val="24"/>
        </w:rPr>
        <w:t>am authorized</w:t>
      </w:r>
      <w:proofErr w:type="gramEnd"/>
      <w:r w:rsidRPr="00060A6C">
        <w:rPr>
          <w:rFonts w:eastAsia="Times New Roman" w:cstheme="minorHAnsi"/>
          <w:b/>
          <w:sz w:val="24"/>
          <w:szCs w:val="24"/>
        </w:rPr>
        <w:t xml:space="preserve"> to sign as a representative for the Bidder listed below:</w:t>
      </w:r>
    </w:p>
    <w:p w:rsidR="00E96538" w:rsidRPr="00961C9F" w:rsidRDefault="00E96538" w:rsidP="00E96538">
      <w:pPr>
        <w:spacing w:before="240" w:after="0" w:line="240" w:lineRule="auto"/>
        <w:ind w:firstLine="720"/>
        <w:rPr>
          <w:rFonts w:eastAsia="Times New Roman" w:cstheme="minorHAnsi"/>
          <w:sz w:val="24"/>
          <w:szCs w:val="24"/>
        </w:rPr>
      </w:pPr>
      <w:r w:rsidRPr="00961C9F">
        <w:rPr>
          <w:rFonts w:eastAsia="Times New Roman" w:cstheme="minorHAnsi"/>
          <w:sz w:val="24"/>
          <w:szCs w:val="24"/>
        </w:rPr>
        <w:t>Legal Name of Bidder: ____________</w:t>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____________</w:t>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sidRPr="00961C9F">
        <w:rPr>
          <w:rFonts w:eastAsia="Times New Roman" w:cstheme="minorHAnsi"/>
          <w:sz w:val="24"/>
          <w:szCs w:val="24"/>
          <w:u w:val="single"/>
        </w:rPr>
        <w:tab/>
      </w:r>
      <w:r w:rsidRPr="00961C9F">
        <w:rPr>
          <w:rFonts w:eastAsia="Times New Roman" w:cstheme="minorHAnsi"/>
          <w:sz w:val="24"/>
          <w:szCs w:val="24"/>
        </w:rPr>
        <w:t>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w:t>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Telephone: __________________</w:t>
      </w:r>
      <w:r w:rsidRPr="00961C9F">
        <w:rPr>
          <w:rFonts w:eastAsia="Times New Roman" w:cstheme="minorHAnsi"/>
          <w:sz w:val="24"/>
          <w:szCs w:val="24"/>
          <w:u w:val="single"/>
        </w:rPr>
        <w:tab/>
      </w:r>
      <w:r w:rsidRPr="00961C9F">
        <w:rPr>
          <w:rFonts w:eastAsia="Times New Roman" w:cstheme="minorHAnsi"/>
          <w:sz w:val="24"/>
          <w:szCs w:val="24"/>
        </w:rPr>
        <w:t xml:space="preserve">_  </w:t>
      </w:r>
      <w:r w:rsidRPr="00961C9F">
        <w:rPr>
          <w:rFonts w:eastAsia="Times New Roman" w:cstheme="minorHAnsi"/>
          <w:sz w:val="24"/>
          <w:szCs w:val="24"/>
        </w:rPr>
        <w:tab/>
      </w:r>
      <w:r w:rsidRPr="00961C9F">
        <w:rPr>
          <w:rFonts w:eastAsia="Times New Roman" w:cstheme="minorHAnsi"/>
          <w:sz w:val="24"/>
          <w:szCs w:val="24"/>
        </w:rPr>
        <w:tab/>
        <w:t xml:space="preserve">Fax:  </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_______</w:t>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E-Mail: _________________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________________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u w:val="single"/>
        </w:rPr>
        <w:tab/>
      </w:r>
      <w:r w:rsidRPr="00961C9F">
        <w:rPr>
          <w:rFonts w:eastAsia="Times New Roman" w:cstheme="minorHAnsi"/>
          <w:sz w:val="24"/>
          <w:szCs w:val="24"/>
        </w:rPr>
        <w:t>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rPr>
        <w:t>_________________</w:t>
      </w:r>
      <w:r w:rsidRPr="00961C9F">
        <w:rPr>
          <w:rFonts w:eastAsia="Times New Roman" w:cstheme="minorHAnsi"/>
          <w:sz w:val="24"/>
          <w:szCs w:val="24"/>
        </w:rPr>
        <w:t>_</w:t>
      </w:r>
    </w:p>
    <w:p w:rsidR="00E96538" w:rsidRPr="00961C9F" w:rsidRDefault="00E96538" w:rsidP="00E96538">
      <w:pPr>
        <w:spacing w:before="360" w:after="0" w:line="240" w:lineRule="auto"/>
        <w:ind w:firstLine="720"/>
        <w:rPr>
          <w:rFonts w:eastAsia="Times New Roman" w:cstheme="minorHAnsi"/>
          <w:sz w:val="24"/>
          <w:szCs w:val="24"/>
        </w:rPr>
      </w:pPr>
      <w:r w:rsidRPr="00961C9F">
        <w:rPr>
          <w:rFonts w:eastAsia="Times New Roman" w:cstheme="minorHAnsi"/>
          <w:sz w:val="24"/>
          <w:szCs w:val="24"/>
        </w:rPr>
        <w:t>Representative’s Signature: _______</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rPr>
        <w:t>_____</w:t>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rPr>
        <w:t xml:space="preserve"> </w:t>
      </w:r>
    </w:p>
    <w:p w:rsidR="00E96538" w:rsidRPr="00961C9F" w:rsidRDefault="00E96538" w:rsidP="00E96538">
      <w:pPr>
        <w:spacing w:before="360" w:after="0" w:line="240" w:lineRule="auto"/>
        <w:ind w:firstLine="720"/>
        <w:rPr>
          <w:rFonts w:eastAsia="Times New Roman" w:cstheme="minorHAnsi"/>
          <w:sz w:val="24"/>
          <w:szCs w:val="24"/>
        </w:rPr>
      </w:pPr>
      <w:proofErr w:type="gramStart"/>
      <w:r w:rsidRPr="00961C9F">
        <w:rPr>
          <w:rFonts w:eastAsia="Times New Roman" w:cstheme="minorHAnsi"/>
          <w:sz w:val="24"/>
          <w:szCs w:val="24"/>
        </w:rPr>
        <w:t>Representative’s</w:t>
      </w:r>
      <w:proofErr w:type="gramEnd"/>
      <w:r w:rsidRPr="00961C9F">
        <w:rPr>
          <w:rFonts w:eastAsia="Times New Roman" w:cstheme="minorHAnsi"/>
          <w:sz w:val="24"/>
          <w:szCs w:val="24"/>
        </w:rPr>
        <w:t xml:space="preserve"> Printed Name: </w:t>
      </w:r>
      <w:r w:rsidRPr="00961C9F">
        <w:rPr>
          <w:rFonts w:eastAsia="Times New Roman" w:cstheme="minorHAnsi"/>
          <w:sz w:val="24"/>
          <w:szCs w:val="24"/>
          <w:u w:val="single"/>
        </w:rPr>
        <w:tab/>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p>
    <w:p w:rsidR="00E96538" w:rsidRPr="00961C9F" w:rsidRDefault="00E96538" w:rsidP="00E96538">
      <w:pPr>
        <w:spacing w:before="280" w:after="0" w:line="240" w:lineRule="auto"/>
        <w:ind w:firstLine="720"/>
        <w:rPr>
          <w:rFonts w:eastAsia="Times New Roman" w:cstheme="minorHAnsi"/>
          <w:sz w:val="24"/>
          <w:szCs w:val="24"/>
        </w:rPr>
      </w:pPr>
      <w:r w:rsidRPr="00961C9F">
        <w:rPr>
          <w:rFonts w:eastAsia="Times New Roman" w:cstheme="minorHAnsi"/>
          <w:sz w:val="24"/>
          <w:szCs w:val="24"/>
        </w:rPr>
        <w:t>Representative’s Printed Title: ____</w:t>
      </w:r>
      <w:r w:rsidRPr="00961C9F">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961C9F">
        <w:rPr>
          <w:rFonts w:eastAsia="Times New Roman" w:cstheme="minorHAnsi"/>
          <w:sz w:val="24"/>
          <w:szCs w:val="24"/>
          <w:u w:val="single"/>
        </w:rPr>
        <w:tab/>
      </w:r>
      <w:r w:rsidRPr="00961C9F">
        <w:rPr>
          <w:rFonts w:eastAsia="Times New Roman" w:cstheme="minorHAnsi"/>
          <w:sz w:val="24"/>
          <w:szCs w:val="24"/>
          <w:u w:val="single"/>
        </w:rPr>
        <w:tab/>
      </w:r>
    </w:p>
    <w:p w:rsidR="00E96538" w:rsidRPr="0034489C" w:rsidRDefault="00E96538" w:rsidP="00E96538">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 xml:space="preserve"> NAICS code # </w:t>
      </w:r>
      <w:r>
        <w:rPr>
          <w:rFonts w:eastAsia="Times New Roman" w:cstheme="minorHAnsi"/>
          <w:sz w:val="24"/>
          <w:szCs w:val="24"/>
          <w:u w:val="single"/>
        </w:rPr>
        <w:tab/>
      </w:r>
      <w:r>
        <w:rPr>
          <w:rFonts w:eastAsia="Times New Roman" w:cstheme="minorHAnsi"/>
          <w:sz w:val="24"/>
          <w:szCs w:val="24"/>
          <w:u w:val="single"/>
        </w:rPr>
        <w:tab/>
      </w:r>
      <w:r>
        <w:rPr>
          <w:rFonts w:eastAsia="Times New Roman" w:cstheme="minorHAnsi"/>
          <w:sz w:val="24"/>
          <w:szCs w:val="24"/>
          <w:u w:val="single"/>
        </w:rPr>
        <w:tab/>
      </w:r>
      <w:r w:rsidRPr="000D7C57">
        <w:rPr>
          <w:rFonts w:eastAsia="Times New Roman" w:cstheme="minorHAnsi"/>
          <w:sz w:val="24"/>
          <w:szCs w:val="24"/>
        </w:rPr>
        <w:tab/>
      </w:r>
      <w:r>
        <w:rPr>
          <w:rFonts w:ascii="Georgia" w:eastAsia="Times New Roman" w:hAnsi="Georgia" w:cs="Times New Roman"/>
        </w:rPr>
        <w:tab/>
      </w:r>
    </w:p>
    <w:sectPr w:rsidR="00E96538" w:rsidRPr="0034489C" w:rsidSect="004F2163">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7CBD">
          <w:rPr>
            <w:noProof/>
          </w:rPr>
          <w:t>6</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8E7101"/>
    <w:multiLevelType w:val="multilevel"/>
    <w:tmpl w:val="73028E86"/>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3"/>
  </w:num>
  <w:num w:numId="3">
    <w:abstractNumId w:val="2"/>
  </w:num>
  <w:num w:numId="4">
    <w:abstractNumId w:val="5"/>
  </w:num>
  <w:num w:numId="5">
    <w:abstractNumId w:val="4"/>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23713C"/>
    <w:rsid w:val="00237E51"/>
    <w:rsid w:val="002C72F1"/>
    <w:rsid w:val="003255C3"/>
    <w:rsid w:val="00456E00"/>
    <w:rsid w:val="00470E46"/>
    <w:rsid w:val="004D32F5"/>
    <w:rsid w:val="004F2163"/>
    <w:rsid w:val="006A381D"/>
    <w:rsid w:val="007F794E"/>
    <w:rsid w:val="00834241"/>
    <w:rsid w:val="008F0374"/>
    <w:rsid w:val="009D2F2D"/>
    <w:rsid w:val="00B04250"/>
    <w:rsid w:val="00C60AFF"/>
    <w:rsid w:val="00D33D9B"/>
    <w:rsid w:val="00E07CBD"/>
    <w:rsid w:val="00E96538"/>
    <w:rsid w:val="00EE6F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9C71F"/>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senecacasinos.com/media/zqdd2j1f/sgc-standard-terms-and-conditions-v-10-30-20.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necacasinos.com/media/zqdd2j1f/sgc-standard-terms-and-conditions-v-10-30-20.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enecacasinos.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7</Pages>
  <Words>1991</Words>
  <Characters>11353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Charles Saxe</cp:lastModifiedBy>
  <cp:revision>3</cp:revision>
  <dcterms:created xsi:type="dcterms:W3CDTF">2021-01-08T14:55:00Z</dcterms:created>
  <dcterms:modified xsi:type="dcterms:W3CDTF">2021-01-08T15:32:00Z</dcterms:modified>
</cp:coreProperties>
</file>