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681A1F8" w14:textId="65399ECE"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FB0BAC">
                                  <w:rPr>
                                    <w:color w:val="00B0F0"/>
                                    <w:sz w:val="44"/>
                                    <w:szCs w:val="44"/>
                                  </w:rPr>
                                  <w:t xml:space="preserve">Stage Lighting </w:t>
                                </w:r>
                                <w:r>
                                  <w:rPr>
                                    <w:color w:val="595959" w:themeColor="text1" w:themeTint="A6"/>
                                    <w:sz w:val="44"/>
                                    <w:szCs w:val="44"/>
                                  </w:rPr>
                                  <w:t xml:space="preserve"> </w:t>
                                </w:r>
                                <w:r w:rsidRPr="00A66CA8">
                                  <w:rPr>
                                    <w:color w:val="00B0F0"/>
                                    <w:sz w:val="48"/>
                                    <w:szCs w:val="48"/>
                                  </w:rPr>
                                  <w:t xml:space="preserve"> </w:t>
                                </w:r>
                              </w:p>
                              <w:p w14:paraId="762F89C5" w14:textId="4F15D577" w:rsidR="00D72C9A" w:rsidRPr="001363D7" w:rsidRDefault="00FB0BAC" w:rsidP="00E96538">
                                <w:pPr>
                                  <w:pStyle w:val="NoSpacing"/>
                                  <w:jc w:val="right"/>
                                  <w:rPr>
                                    <w:color w:val="595959" w:themeColor="text1" w:themeTint="A6"/>
                                    <w:sz w:val="44"/>
                                    <w:szCs w:val="44"/>
                                  </w:rPr>
                                </w:pPr>
                                <w:r>
                                  <w:rPr>
                                    <w:color w:val="00B0F0"/>
                                    <w:sz w:val="48"/>
                                    <w:szCs w:val="48"/>
                                  </w:rPr>
                                  <w:t>SGC-0084-25LF</w:t>
                                </w:r>
                                <w:r w:rsidR="00D72C9A"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4681A1F8" w14:textId="65399ECE"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FB0BAC">
                            <w:rPr>
                              <w:color w:val="00B0F0"/>
                              <w:sz w:val="44"/>
                              <w:szCs w:val="44"/>
                            </w:rPr>
                            <w:t xml:space="preserve">Stage Lighting </w:t>
                          </w:r>
                          <w:r>
                            <w:rPr>
                              <w:color w:val="595959" w:themeColor="text1" w:themeTint="A6"/>
                              <w:sz w:val="44"/>
                              <w:szCs w:val="44"/>
                            </w:rPr>
                            <w:t xml:space="preserve"> </w:t>
                          </w:r>
                          <w:r w:rsidRPr="00A66CA8">
                            <w:rPr>
                              <w:color w:val="00B0F0"/>
                              <w:sz w:val="48"/>
                              <w:szCs w:val="48"/>
                            </w:rPr>
                            <w:t xml:space="preserve"> </w:t>
                          </w:r>
                        </w:p>
                        <w:p w14:paraId="762F89C5" w14:textId="4F15D577" w:rsidR="00D72C9A" w:rsidRPr="001363D7" w:rsidRDefault="00FB0BAC" w:rsidP="00E96538">
                          <w:pPr>
                            <w:pStyle w:val="NoSpacing"/>
                            <w:jc w:val="right"/>
                            <w:rPr>
                              <w:color w:val="595959" w:themeColor="text1" w:themeTint="A6"/>
                              <w:sz w:val="44"/>
                              <w:szCs w:val="44"/>
                            </w:rPr>
                          </w:pPr>
                          <w:r>
                            <w:rPr>
                              <w:color w:val="00B0F0"/>
                              <w:sz w:val="48"/>
                              <w:szCs w:val="48"/>
                            </w:rPr>
                            <w:t>SGC-0084-25LF</w:t>
                          </w:r>
                          <w:r w:rsidR="00D72C9A"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EF3F5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EF3F5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027EE999" w14:textId="2A9E775C" w:rsidR="00EF3F5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0097045" w:history="1">
            <w:r w:rsidR="00EF3F50" w:rsidRPr="00FE3D75">
              <w:rPr>
                <w:rStyle w:val="Hyperlink"/>
                <w:noProof/>
              </w:rPr>
              <w:t>I.</w:t>
            </w:r>
            <w:r w:rsidR="00EF3F50">
              <w:rPr>
                <w:rFonts w:eastAsiaTheme="minorEastAsia"/>
                <w:noProof/>
              </w:rPr>
              <w:tab/>
            </w:r>
            <w:r w:rsidR="00EF3F50" w:rsidRPr="00FE3D75">
              <w:rPr>
                <w:rStyle w:val="Hyperlink"/>
                <w:noProof/>
              </w:rPr>
              <w:t>Introduction</w:t>
            </w:r>
            <w:r w:rsidR="00EF3F50">
              <w:rPr>
                <w:noProof/>
                <w:webHidden/>
              </w:rPr>
              <w:tab/>
            </w:r>
            <w:r w:rsidR="00EF3F50">
              <w:rPr>
                <w:noProof/>
                <w:webHidden/>
              </w:rPr>
              <w:fldChar w:fldCharType="begin"/>
            </w:r>
            <w:r w:rsidR="00EF3F50">
              <w:rPr>
                <w:noProof/>
                <w:webHidden/>
              </w:rPr>
              <w:instrText xml:space="preserve"> PAGEREF _Toc200097045 \h </w:instrText>
            </w:r>
            <w:r w:rsidR="00EF3F50">
              <w:rPr>
                <w:noProof/>
                <w:webHidden/>
              </w:rPr>
            </w:r>
            <w:r w:rsidR="00EF3F50">
              <w:rPr>
                <w:noProof/>
                <w:webHidden/>
              </w:rPr>
              <w:fldChar w:fldCharType="separate"/>
            </w:r>
            <w:r w:rsidR="00EF3F50">
              <w:rPr>
                <w:noProof/>
                <w:webHidden/>
              </w:rPr>
              <w:t>2</w:t>
            </w:r>
            <w:r w:rsidR="00EF3F50">
              <w:rPr>
                <w:noProof/>
                <w:webHidden/>
              </w:rPr>
              <w:fldChar w:fldCharType="end"/>
            </w:r>
          </w:hyperlink>
        </w:p>
        <w:p w14:paraId="59D45232" w14:textId="0446FFF5" w:rsidR="00EF3F50" w:rsidRDefault="00EF3F50">
          <w:pPr>
            <w:pStyle w:val="TOC1"/>
            <w:tabs>
              <w:tab w:val="left" w:pos="440"/>
              <w:tab w:val="right" w:leader="dot" w:pos="9350"/>
            </w:tabs>
            <w:rPr>
              <w:rFonts w:eastAsiaTheme="minorEastAsia"/>
              <w:noProof/>
            </w:rPr>
          </w:pPr>
          <w:hyperlink w:anchor="_Toc200097046" w:history="1">
            <w:r w:rsidRPr="00FE3D75">
              <w:rPr>
                <w:rStyle w:val="Hyperlink"/>
                <w:noProof/>
              </w:rPr>
              <w:t>II.</w:t>
            </w:r>
            <w:r>
              <w:rPr>
                <w:rFonts w:eastAsiaTheme="minorEastAsia"/>
                <w:noProof/>
              </w:rPr>
              <w:tab/>
            </w:r>
            <w:r w:rsidRPr="00FE3D75">
              <w:rPr>
                <w:rStyle w:val="Hyperlink"/>
                <w:noProof/>
              </w:rPr>
              <w:t>RFP Objective</w:t>
            </w:r>
            <w:r>
              <w:rPr>
                <w:noProof/>
                <w:webHidden/>
              </w:rPr>
              <w:tab/>
            </w:r>
            <w:r>
              <w:rPr>
                <w:noProof/>
                <w:webHidden/>
              </w:rPr>
              <w:fldChar w:fldCharType="begin"/>
            </w:r>
            <w:r>
              <w:rPr>
                <w:noProof/>
                <w:webHidden/>
              </w:rPr>
              <w:instrText xml:space="preserve"> PAGEREF _Toc200097046 \h </w:instrText>
            </w:r>
            <w:r>
              <w:rPr>
                <w:noProof/>
                <w:webHidden/>
              </w:rPr>
            </w:r>
            <w:r>
              <w:rPr>
                <w:noProof/>
                <w:webHidden/>
              </w:rPr>
              <w:fldChar w:fldCharType="separate"/>
            </w:r>
            <w:r>
              <w:rPr>
                <w:noProof/>
                <w:webHidden/>
              </w:rPr>
              <w:t>2</w:t>
            </w:r>
            <w:r>
              <w:rPr>
                <w:noProof/>
                <w:webHidden/>
              </w:rPr>
              <w:fldChar w:fldCharType="end"/>
            </w:r>
          </w:hyperlink>
        </w:p>
        <w:p w14:paraId="41622A2C" w14:textId="6F6A26D9" w:rsidR="00EF3F50" w:rsidRDefault="00EF3F50">
          <w:pPr>
            <w:pStyle w:val="TOC1"/>
            <w:tabs>
              <w:tab w:val="left" w:pos="660"/>
              <w:tab w:val="right" w:leader="dot" w:pos="9350"/>
            </w:tabs>
            <w:rPr>
              <w:rFonts w:eastAsiaTheme="minorEastAsia"/>
              <w:noProof/>
            </w:rPr>
          </w:pPr>
          <w:hyperlink w:anchor="_Toc200097047" w:history="1">
            <w:r w:rsidRPr="00FE3D75">
              <w:rPr>
                <w:rStyle w:val="Hyperlink"/>
                <w:noProof/>
              </w:rPr>
              <w:t>III.</w:t>
            </w:r>
            <w:r>
              <w:rPr>
                <w:rFonts w:eastAsiaTheme="minorEastAsia"/>
                <w:noProof/>
              </w:rPr>
              <w:tab/>
            </w:r>
            <w:r w:rsidRPr="00FE3D75">
              <w:rPr>
                <w:rStyle w:val="Hyperlink"/>
                <w:noProof/>
              </w:rPr>
              <w:t>Specifications:</w:t>
            </w:r>
            <w:r>
              <w:rPr>
                <w:noProof/>
                <w:webHidden/>
              </w:rPr>
              <w:tab/>
            </w:r>
            <w:r>
              <w:rPr>
                <w:noProof/>
                <w:webHidden/>
              </w:rPr>
              <w:fldChar w:fldCharType="begin"/>
            </w:r>
            <w:r>
              <w:rPr>
                <w:noProof/>
                <w:webHidden/>
              </w:rPr>
              <w:instrText xml:space="preserve"> PAGEREF _Toc200097047 \h </w:instrText>
            </w:r>
            <w:r>
              <w:rPr>
                <w:noProof/>
                <w:webHidden/>
              </w:rPr>
            </w:r>
            <w:r>
              <w:rPr>
                <w:noProof/>
                <w:webHidden/>
              </w:rPr>
              <w:fldChar w:fldCharType="separate"/>
            </w:r>
            <w:r>
              <w:rPr>
                <w:noProof/>
                <w:webHidden/>
              </w:rPr>
              <w:t>2</w:t>
            </w:r>
            <w:r>
              <w:rPr>
                <w:noProof/>
                <w:webHidden/>
              </w:rPr>
              <w:fldChar w:fldCharType="end"/>
            </w:r>
          </w:hyperlink>
        </w:p>
        <w:p w14:paraId="6DF8BAF0" w14:textId="3809625D" w:rsidR="00EF3F50" w:rsidRDefault="00EF3F50">
          <w:pPr>
            <w:pStyle w:val="TOC1"/>
            <w:tabs>
              <w:tab w:val="left" w:pos="660"/>
              <w:tab w:val="right" w:leader="dot" w:pos="9350"/>
            </w:tabs>
            <w:rPr>
              <w:rFonts w:eastAsiaTheme="minorEastAsia"/>
              <w:noProof/>
            </w:rPr>
          </w:pPr>
          <w:hyperlink w:anchor="_Toc200097048" w:history="1">
            <w:r w:rsidRPr="00FE3D75">
              <w:rPr>
                <w:rStyle w:val="Hyperlink"/>
                <w:noProof/>
              </w:rPr>
              <w:t>IV.</w:t>
            </w:r>
            <w:r>
              <w:rPr>
                <w:rFonts w:eastAsiaTheme="minorEastAsia"/>
                <w:noProof/>
              </w:rPr>
              <w:tab/>
            </w:r>
            <w:r w:rsidRPr="00FE3D75">
              <w:rPr>
                <w:rStyle w:val="Hyperlink"/>
                <w:noProof/>
              </w:rPr>
              <w:t>RFP Administrative Information</w:t>
            </w:r>
            <w:r>
              <w:rPr>
                <w:noProof/>
                <w:webHidden/>
              </w:rPr>
              <w:tab/>
            </w:r>
            <w:r>
              <w:rPr>
                <w:noProof/>
                <w:webHidden/>
              </w:rPr>
              <w:fldChar w:fldCharType="begin"/>
            </w:r>
            <w:r>
              <w:rPr>
                <w:noProof/>
                <w:webHidden/>
              </w:rPr>
              <w:instrText xml:space="preserve"> PAGEREF _Toc200097048 \h </w:instrText>
            </w:r>
            <w:r>
              <w:rPr>
                <w:noProof/>
                <w:webHidden/>
              </w:rPr>
            </w:r>
            <w:r>
              <w:rPr>
                <w:noProof/>
                <w:webHidden/>
              </w:rPr>
              <w:fldChar w:fldCharType="separate"/>
            </w:r>
            <w:r>
              <w:rPr>
                <w:noProof/>
                <w:webHidden/>
              </w:rPr>
              <w:t>3</w:t>
            </w:r>
            <w:r>
              <w:rPr>
                <w:noProof/>
                <w:webHidden/>
              </w:rPr>
              <w:fldChar w:fldCharType="end"/>
            </w:r>
          </w:hyperlink>
        </w:p>
        <w:p w14:paraId="7A288B09" w14:textId="50458DB6" w:rsidR="00EF3F50" w:rsidRDefault="00EF3F50">
          <w:pPr>
            <w:pStyle w:val="TOC2"/>
            <w:tabs>
              <w:tab w:val="left" w:pos="660"/>
              <w:tab w:val="right" w:leader="dot" w:pos="9350"/>
            </w:tabs>
            <w:rPr>
              <w:rFonts w:eastAsiaTheme="minorEastAsia"/>
              <w:noProof/>
            </w:rPr>
          </w:pPr>
          <w:hyperlink w:anchor="_Toc200097049" w:history="1">
            <w:r w:rsidRPr="00FE3D75">
              <w:rPr>
                <w:rStyle w:val="Hyperlink"/>
                <w:noProof/>
              </w:rPr>
              <w:t>A.</w:t>
            </w:r>
            <w:r>
              <w:rPr>
                <w:rFonts w:eastAsiaTheme="minorEastAsia"/>
                <w:noProof/>
              </w:rPr>
              <w:tab/>
            </w:r>
            <w:r w:rsidRPr="00FE3D75">
              <w:rPr>
                <w:rStyle w:val="Hyperlink"/>
                <w:noProof/>
              </w:rPr>
              <w:t>Contact Information</w:t>
            </w:r>
            <w:r>
              <w:rPr>
                <w:noProof/>
                <w:webHidden/>
              </w:rPr>
              <w:tab/>
            </w:r>
            <w:r>
              <w:rPr>
                <w:noProof/>
                <w:webHidden/>
              </w:rPr>
              <w:fldChar w:fldCharType="begin"/>
            </w:r>
            <w:r>
              <w:rPr>
                <w:noProof/>
                <w:webHidden/>
              </w:rPr>
              <w:instrText xml:space="preserve"> PAGEREF _Toc200097049 \h </w:instrText>
            </w:r>
            <w:r>
              <w:rPr>
                <w:noProof/>
                <w:webHidden/>
              </w:rPr>
            </w:r>
            <w:r>
              <w:rPr>
                <w:noProof/>
                <w:webHidden/>
              </w:rPr>
              <w:fldChar w:fldCharType="separate"/>
            </w:r>
            <w:r>
              <w:rPr>
                <w:noProof/>
                <w:webHidden/>
              </w:rPr>
              <w:t>3</w:t>
            </w:r>
            <w:r>
              <w:rPr>
                <w:noProof/>
                <w:webHidden/>
              </w:rPr>
              <w:fldChar w:fldCharType="end"/>
            </w:r>
          </w:hyperlink>
        </w:p>
        <w:p w14:paraId="006AD03C" w14:textId="311554E2" w:rsidR="00EF3F50" w:rsidRDefault="00EF3F50">
          <w:pPr>
            <w:pStyle w:val="TOC2"/>
            <w:tabs>
              <w:tab w:val="left" w:pos="660"/>
              <w:tab w:val="right" w:leader="dot" w:pos="9350"/>
            </w:tabs>
            <w:rPr>
              <w:rFonts w:eastAsiaTheme="minorEastAsia"/>
              <w:noProof/>
            </w:rPr>
          </w:pPr>
          <w:hyperlink w:anchor="_Toc200097050" w:history="1">
            <w:r w:rsidRPr="00FE3D75">
              <w:rPr>
                <w:rStyle w:val="Hyperlink"/>
                <w:noProof/>
              </w:rPr>
              <w:t>B.</w:t>
            </w:r>
            <w:r>
              <w:rPr>
                <w:rFonts w:eastAsiaTheme="minorEastAsia"/>
                <w:noProof/>
              </w:rPr>
              <w:tab/>
            </w:r>
            <w:r w:rsidRPr="00FE3D75">
              <w:rPr>
                <w:rStyle w:val="Hyperlink"/>
                <w:noProof/>
              </w:rPr>
              <w:t>Schedule of Events</w:t>
            </w:r>
            <w:r>
              <w:rPr>
                <w:noProof/>
                <w:webHidden/>
              </w:rPr>
              <w:tab/>
            </w:r>
            <w:r>
              <w:rPr>
                <w:noProof/>
                <w:webHidden/>
              </w:rPr>
              <w:fldChar w:fldCharType="begin"/>
            </w:r>
            <w:r>
              <w:rPr>
                <w:noProof/>
                <w:webHidden/>
              </w:rPr>
              <w:instrText xml:space="preserve"> PAGEREF _Toc200097050 \h </w:instrText>
            </w:r>
            <w:r>
              <w:rPr>
                <w:noProof/>
                <w:webHidden/>
              </w:rPr>
            </w:r>
            <w:r>
              <w:rPr>
                <w:noProof/>
                <w:webHidden/>
              </w:rPr>
              <w:fldChar w:fldCharType="separate"/>
            </w:r>
            <w:r>
              <w:rPr>
                <w:noProof/>
                <w:webHidden/>
              </w:rPr>
              <w:t>3</w:t>
            </w:r>
            <w:r>
              <w:rPr>
                <w:noProof/>
                <w:webHidden/>
              </w:rPr>
              <w:fldChar w:fldCharType="end"/>
            </w:r>
          </w:hyperlink>
        </w:p>
        <w:p w14:paraId="1CC339EF" w14:textId="4F138DB4" w:rsidR="00EF3F50" w:rsidRDefault="00EF3F50">
          <w:pPr>
            <w:pStyle w:val="TOC2"/>
            <w:tabs>
              <w:tab w:val="left" w:pos="660"/>
              <w:tab w:val="right" w:leader="dot" w:pos="9350"/>
            </w:tabs>
            <w:rPr>
              <w:rFonts w:eastAsiaTheme="minorEastAsia"/>
              <w:noProof/>
            </w:rPr>
          </w:pPr>
          <w:hyperlink w:anchor="_Toc200097051" w:history="1">
            <w:r w:rsidRPr="00FE3D75">
              <w:rPr>
                <w:rStyle w:val="Hyperlink"/>
                <w:rFonts w:eastAsia="Times New Roman"/>
                <w:noProof/>
              </w:rPr>
              <w:t>C.</w:t>
            </w:r>
            <w:r>
              <w:rPr>
                <w:rFonts w:eastAsiaTheme="minorEastAsia"/>
                <w:noProof/>
              </w:rPr>
              <w:tab/>
            </w:r>
            <w:r w:rsidRPr="00FE3D75">
              <w:rPr>
                <w:rStyle w:val="Hyperlink"/>
                <w:rFonts w:eastAsia="Times New Roman"/>
                <w:noProof/>
              </w:rPr>
              <w:t>Intent to Bid</w:t>
            </w:r>
            <w:r>
              <w:rPr>
                <w:noProof/>
                <w:webHidden/>
              </w:rPr>
              <w:tab/>
            </w:r>
            <w:r>
              <w:rPr>
                <w:noProof/>
                <w:webHidden/>
              </w:rPr>
              <w:fldChar w:fldCharType="begin"/>
            </w:r>
            <w:r>
              <w:rPr>
                <w:noProof/>
                <w:webHidden/>
              </w:rPr>
              <w:instrText xml:space="preserve"> PAGEREF _Toc200097051 \h </w:instrText>
            </w:r>
            <w:r>
              <w:rPr>
                <w:noProof/>
                <w:webHidden/>
              </w:rPr>
            </w:r>
            <w:r>
              <w:rPr>
                <w:noProof/>
                <w:webHidden/>
              </w:rPr>
              <w:fldChar w:fldCharType="separate"/>
            </w:r>
            <w:r>
              <w:rPr>
                <w:noProof/>
                <w:webHidden/>
              </w:rPr>
              <w:t>3</w:t>
            </w:r>
            <w:r>
              <w:rPr>
                <w:noProof/>
                <w:webHidden/>
              </w:rPr>
              <w:fldChar w:fldCharType="end"/>
            </w:r>
          </w:hyperlink>
        </w:p>
        <w:p w14:paraId="089238C8" w14:textId="10067689" w:rsidR="00EF3F50" w:rsidRDefault="00EF3F50">
          <w:pPr>
            <w:pStyle w:val="TOC2"/>
            <w:tabs>
              <w:tab w:val="left" w:pos="660"/>
              <w:tab w:val="right" w:leader="dot" w:pos="9350"/>
            </w:tabs>
            <w:rPr>
              <w:rFonts w:eastAsiaTheme="minorEastAsia"/>
              <w:noProof/>
            </w:rPr>
          </w:pPr>
          <w:hyperlink w:anchor="_Toc200097052" w:history="1">
            <w:r w:rsidRPr="00FE3D75">
              <w:rPr>
                <w:rStyle w:val="Hyperlink"/>
                <w:rFonts w:eastAsia="Times New Roman"/>
                <w:noProof/>
              </w:rPr>
              <w:t>D.</w:t>
            </w:r>
            <w:r>
              <w:rPr>
                <w:rFonts w:eastAsiaTheme="minorEastAsia"/>
                <w:noProof/>
              </w:rPr>
              <w:tab/>
            </w:r>
            <w:r w:rsidRPr="00FE3D75">
              <w:rPr>
                <w:rStyle w:val="Hyperlink"/>
                <w:rFonts w:eastAsia="Times New Roman"/>
                <w:noProof/>
              </w:rPr>
              <w:t>Bidder Questions</w:t>
            </w:r>
            <w:r>
              <w:rPr>
                <w:noProof/>
                <w:webHidden/>
              </w:rPr>
              <w:tab/>
            </w:r>
            <w:r>
              <w:rPr>
                <w:noProof/>
                <w:webHidden/>
              </w:rPr>
              <w:fldChar w:fldCharType="begin"/>
            </w:r>
            <w:r>
              <w:rPr>
                <w:noProof/>
                <w:webHidden/>
              </w:rPr>
              <w:instrText xml:space="preserve"> PAGEREF _Toc200097052 \h </w:instrText>
            </w:r>
            <w:r>
              <w:rPr>
                <w:noProof/>
                <w:webHidden/>
              </w:rPr>
            </w:r>
            <w:r>
              <w:rPr>
                <w:noProof/>
                <w:webHidden/>
              </w:rPr>
              <w:fldChar w:fldCharType="separate"/>
            </w:r>
            <w:r>
              <w:rPr>
                <w:noProof/>
                <w:webHidden/>
              </w:rPr>
              <w:t>3</w:t>
            </w:r>
            <w:r>
              <w:rPr>
                <w:noProof/>
                <w:webHidden/>
              </w:rPr>
              <w:fldChar w:fldCharType="end"/>
            </w:r>
          </w:hyperlink>
        </w:p>
        <w:p w14:paraId="6C98FD0D" w14:textId="78436D28" w:rsidR="00EF3F50" w:rsidRDefault="00EF3F50">
          <w:pPr>
            <w:pStyle w:val="TOC2"/>
            <w:tabs>
              <w:tab w:val="left" w:pos="660"/>
              <w:tab w:val="right" w:leader="dot" w:pos="9350"/>
            </w:tabs>
            <w:rPr>
              <w:rFonts w:eastAsiaTheme="minorEastAsia"/>
              <w:noProof/>
            </w:rPr>
          </w:pPr>
          <w:hyperlink w:anchor="_Toc200097053" w:history="1">
            <w:r w:rsidRPr="00FE3D75">
              <w:rPr>
                <w:rStyle w:val="Hyperlink"/>
                <w:rFonts w:eastAsia="Times New Roman"/>
                <w:noProof/>
              </w:rPr>
              <w:t>E.</w:t>
            </w:r>
            <w:r>
              <w:rPr>
                <w:rFonts w:eastAsiaTheme="minorEastAsia"/>
                <w:noProof/>
              </w:rPr>
              <w:tab/>
            </w:r>
            <w:r w:rsidRPr="00FE3D75">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_Toc200097053 \h </w:instrText>
            </w:r>
            <w:r>
              <w:rPr>
                <w:noProof/>
                <w:webHidden/>
              </w:rPr>
            </w:r>
            <w:r>
              <w:rPr>
                <w:noProof/>
                <w:webHidden/>
              </w:rPr>
              <w:fldChar w:fldCharType="separate"/>
            </w:r>
            <w:r>
              <w:rPr>
                <w:noProof/>
                <w:webHidden/>
              </w:rPr>
              <w:t>3</w:t>
            </w:r>
            <w:r>
              <w:rPr>
                <w:noProof/>
                <w:webHidden/>
              </w:rPr>
              <w:fldChar w:fldCharType="end"/>
            </w:r>
          </w:hyperlink>
        </w:p>
        <w:p w14:paraId="4430BA3F" w14:textId="35C3BC22" w:rsidR="00EF3F50" w:rsidRDefault="00EF3F50">
          <w:pPr>
            <w:pStyle w:val="TOC2"/>
            <w:tabs>
              <w:tab w:val="left" w:pos="660"/>
              <w:tab w:val="right" w:leader="dot" w:pos="9350"/>
            </w:tabs>
            <w:rPr>
              <w:rFonts w:eastAsiaTheme="minorEastAsia"/>
              <w:noProof/>
            </w:rPr>
          </w:pPr>
          <w:hyperlink w:anchor="_Toc200097054" w:history="1">
            <w:r w:rsidRPr="00FE3D75">
              <w:rPr>
                <w:rStyle w:val="Hyperlink"/>
                <w:rFonts w:eastAsia="Times New Roman"/>
                <w:noProof/>
              </w:rPr>
              <w:t>F.</w:t>
            </w:r>
            <w:r>
              <w:rPr>
                <w:rFonts w:eastAsiaTheme="minorEastAsia"/>
                <w:noProof/>
              </w:rPr>
              <w:tab/>
            </w:r>
            <w:r w:rsidRPr="00FE3D75">
              <w:rPr>
                <w:rStyle w:val="Hyperlink"/>
                <w:rFonts w:eastAsia="Times New Roman"/>
                <w:noProof/>
              </w:rPr>
              <w:t>Proposal Format</w:t>
            </w:r>
            <w:r>
              <w:rPr>
                <w:noProof/>
                <w:webHidden/>
              </w:rPr>
              <w:tab/>
            </w:r>
            <w:r>
              <w:rPr>
                <w:noProof/>
                <w:webHidden/>
              </w:rPr>
              <w:fldChar w:fldCharType="begin"/>
            </w:r>
            <w:r>
              <w:rPr>
                <w:noProof/>
                <w:webHidden/>
              </w:rPr>
              <w:instrText xml:space="preserve"> PAGEREF _Toc200097054 \h </w:instrText>
            </w:r>
            <w:r>
              <w:rPr>
                <w:noProof/>
                <w:webHidden/>
              </w:rPr>
            </w:r>
            <w:r>
              <w:rPr>
                <w:noProof/>
                <w:webHidden/>
              </w:rPr>
              <w:fldChar w:fldCharType="separate"/>
            </w:r>
            <w:r>
              <w:rPr>
                <w:noProof/>
                <w:webHidden/>
              </w:rPr>
              <w:t>4</w:t>
            </w:r>
            <w:r>
              <w:rPr>
                <w:noProof/>
                <w:webHidden/>
              </w:rPr>
              <w:fldChar w:fldCharType="end"/>
            </w:r>
          </w:hyperlink>
        </w:p>
        <w:p w14:paraId="1C65CEF1" w14:textId="5733A254" w:rsidR="00EF3F50" w:rsidRDefault="00EF3F50">
          <w:pPr>
            <w:pStyle w:val="TOC2"/>
            <w:tabs>
              <w:tab w:val="left" w:pos="660"/>
              <w:tab w:val="right" w:leader="dot" w:pos="9350"/>
            </w:tabs>
            <w:rPr>
              <w:rFonts w:eastAsiaTheme="minorEastAsia"/>
              <w:noProof/>
            </w:rPr>
          </w:pPr>
          <w:hyperlink w:anchor="_Toc200097055" w:history="1">
            <w:r w:rsidRPr="00FE3D75">
              <w:rPr>
                <w:rStyle w:val="Hyperlink"/>
                <w:rFonts w:eastAsia="Times New Roman"/>
                <w:noProof/>
              </w:rPr>
              <w:t>G.</w:t>
            </w:r>
            <w:r>
              <w:rPr>
                <w:rFonts w:eastAsiaTheme="minorEastAsia"/>
                <w:noProof/>
              </w:rPr>
              <w:tab/>
            </w:r>
            <w:r w:rsidRPr="00FE3D75">
              <w:rPr>
                <w:rStyle w:val="Hyperlink"/>
                <w:rFonts w:eastAsia="Times New Roman"/>
                <w:noProof/>
              </w:rPr>
              <w:t>Conditions</w:t>
            </w:r>
            <w:r>
              <w:rPr>
                <w:noProof/>
                <w:webHidden/>
              </w:rPr>
              <w:tab/>
            </w:r>
            <w:r>
              <w:rPr>
                <w:noProof/>
                <w:webHidden/>
              </w:rPr>
              <w:fldChar w:fldCharType="begin"/>
            </w:r>
            <w:r>
              <w:rPr>
                <w:noProof/>
                <w:webHidden/>
              </w:rPr>
              <w:instrText xml:space="preserve"> PAGEREF _Toc200097055 \h </w:instrText>
            </w:r>
            <w:r>
              <w:rPr>
                <w:noProof/>
                <w:webHidden/>
              </w:rPr>
            </w:r>
            <w:r>
              <w:rPr>
                <w:noProof/>
                <w:webHidden/>
              </w:rPr>
              <w:fldChar w:fldCharType="separate"/>
            </w:r>
            <w:r>
              <w:rPr>
                <w:noProof/>
                <w:webHidden/>
              </w:rPr>
              <w:t>5</w:t>
            </w:r>
            <w:r>
              <w:rPr>
                <w:noProof/>
                <w:webHidden/>
              </w:rPr>
              <w:fldChar w:fldCharType="end"/>
            </w:r>
          </w:hyperlink>
        </w:p>
        <w:p w14:paraId="08C0B50B" w14:textId="15220B1E" w:rsidR="00EF3F50" w:rsidRDefault="00EF3F50">
          <w:pPr>
            <w:pStyle w:val="TOC2"/>
            <w:tabs>
              <w:tab w:val="left" w:pos="660"/>
              <w:tab w:val="right" w:leader="dot" w:pos="9350"/>
            </w:tabs>
            <w:rPr>
              <w:rFonts w:eastAsiaTheme="minorEastAsia"/>
              <w:noProof/>
            </w:rPr>
          </w:pPr>
          <w:hyperlink w:anchor="_Toc200097056" w:history="1">
            <w:r w:rsidRPr="00FE3D75">
              <w:rPr>
                <w:rStyle w:val="Hyperlink"/>
                <w:rFonts w:eastAsia="Times New Roman"/>
                <w:noProof/>
              </w:rPr>
              <w:t>H.</w:t>
            </w:r>
            <w:r>
              <w:rPr>
                <w:rFonts w:eastAsiaTheme="minorEastAsia"/>
                <w:noProof/>
              </w:rPr>
              <w:tab/>
            </w:r>
            <w:r w:rsidRPr="00FE3D75">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_Toc200097056 \h </w:instrText>
            </w:r>
            <w:r>
              <w:rPr>
                <w:noProof/>
                <w:webHidden/>
              </w:rPr>
            </w:r>
            <w:r>
              <w:rPr>
                <w:noProof/>
                <w:webHidden/>
              </w:rPr>
              <w:fldChar w:fldCharType="separate"/>
            </w:r>
            <w:r>
              <w:rPr>
                <w:noProof/>
                <w:webHidden/>
              </w:rPr>
              <w:t>5</w:t>
            </w:r>
            <w:r>
              <w:rPr>
                <w:noProof/>
                <w:webHidden/>
              </w:rPr>
              <w:fldChar w:fldCharType="end"/>
            </w:r>
          </w:hyperlink>
        </w:p>
        <w:p w14:paraId="63EE1107" w14:textId="40E0F1C9" w:rsidR="00EF3F50" w:rsidRDefault="00EF3F50">
          <w:pPr>
            <w:pStyle w:val="TOC2"/>
            <w:tabs>
              <w:tab w:val="left" w:pos="660"/>
              <w:tab w:val="right" w:leader="dot" w:pos="9350"/>
            </w:tabs>
            <w:rPr>
              <w:rFonts w:eastAsiaTheme="minorEastAsia"/>
              <w:noProof/>
            </w:rPr>
          </w:pPr>
          <w:hyperlink w:anchor="_Toc200097057" w:history="1">
            <w:r w:rsidRPr="00FE3D75">
              <w:rPr>
                <w:rStyle w:val="Hyperlink"/>
                <w:rFonts w:eastAsia="Times New Roman"/>
                <w:noProof/>
              </w:rPr>
              <w:t>I.</w:t>
            </w:r>
            <w:r>
              <w:rPr>
                <w:rFonts w:eastAsiaTheme="minorEastAsia"/>
                <w:noProof/>
              </w:rPr>
              <w:tab/>
            </w:r>
            <w:r w:rsidRPr="00FE3D75">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_Toc200097057 \h </w:instrText>
            </w:r>
            <w:r>
              <w:rPr>
                <w:noProof/>
                <w:webHidden/>
              </w:rPr>
            </w:r>
            <w:r>
              <w:rPr>
                <w:noProof/>
                <w:webHidden/>
              </w:rPr>
              <w:fldChar w:fldCharType="separate"/>
            </w:r>
            <w:r>
              <w:rPr>
                <w:noProof/>
                <w:webHidden/>
              </w:rPr>
              <w:t>6</w:t>
            </w:r>
            <w:r>
              <w:rPr>
                <w:noProof/>
                <w:webHidden/>
              </w:rPr>
              <w:fldChar w:fldCharType="end"/>
            </w:r>
          </w:hyperlink>
        </w:p>
        <w:p w14:paraId="3F1035ED" w14:textId="5BB92445" w:rsidR="00EF3F50" w:rsidRDefault="00EF3F50">
          <w:pPr>
            <w:pStyle w:val="TOC2"/>
            <w:tabs>
              <w:tab w:val="left" w:pos="660"/>
              <w:tab w:val="right" w:leader="dot" w:pos="9350"/>
            </w:tabs>
            <w:rPr>
              <w:rFonts w:eastAsiaTheme="minorEastAsia"/>
              <w:noProof/>
            </w:rPr>
          </w:pPr>
          <w:hyperlink w:anchor="_Toc200097058" w:history="1">
            <w:r w:rsidRPr="00FE3D75">
              <w:rPr>
                <w:rStyle w:val="Hyperlink"/>
                <w:rFonts w:eastAsia="Times New Roman"/>
                <w:noProof/>
              </w:rPr>
              <w:t>J.</w:t>
            </w:r>
            <w:r>
              <w:rPr>
                <w:rFonts w:eastAsiaTheme="minorEastAsia"/>
                <w:noProof/>
              </w:rPr>
              <w:tab/>
            </w:r>
            <w:r w:rsidRPr="00FE3D75">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_Toc200097058 \h </w:instrText>
            </w:r>
            <w:r>
              <w:rPr>
                <w:noProof/>
                <w:webHidden/>
              </w:rPr>
            </w:r>
            <w:r>
              <w:rPr>
                <w:noProof/>
                <w:webHidden/>
              </w:rPr>
              <w:fldChar w:fldCharType="separate"/>
            </w:r>
            <w:r>
              <w:rPr>
                <w:noProof/>
                <w:webHidden/>
              </w:rPr>
              <w:t>7</w:t>
            </w:r>
            <w:r>
              <w:rPr>
                <w:noProof/>
                <w:webHidden/>
              </w:rPr>
              <w:fldChar w:fldCharType="end"/>
            </w:r>
          </w:hyperlink>
        </w:p>
        <w:p w14:paraId="6BF18CA7" w14:textId="7B18FE93" w:rsidR="00EF3F50" w:rsidRDefault="00EF3F50">
          <w:pPr>
            <w:pStyle w:val="TOC1"/>
            <w:tabs>
              <w:tab w:val="left" w:pos="440"/>
              <w:tab w:val="right" w:leader="dot" w:pos="9350"/>
            </w:tabs>
            <w:rPr>
              <w:rFonts w:eastAsiaTheme="minorEastAsia"/>
              <w:noProof/>
            </w:rPr>
          </w:pPr>
          <w:hyperlink w:anchor="_Toc200097059" w:history="1">
            <w:r w:rsidRPr="00FE3D75">
              <w:rPr>
                <w:rStyle w:val="Hyperlink"/>
                <w:rFonts w:eastAsia="Times New Roman"/>
                <w:noProof/>
              </w:rPr>
              <w:t>V.</w:t>
            </w:r>
            <w:r>
              <w:rPr>
                <w:rFonts w:eastAsiaTheme="minorEastAsia"/>
                <w:noProof/>
              </w:rPr>
              <w:tab/>
            </w:r>
            <w:r w:rsidRPr="00FE3D75">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_Toc200097059 \h </w:instrText>
            </w:r>
            <w:r>
              <w:rPr>
                <w:noProof/>
                <w:webHidden/>
              </w:rPr>
            </w:r>
            <w:r>
              <w:rPr>
                <w:noProof/>
                <w:webHidden/>
              </w:rPr>
              <w:fldChar w:fldCharType="separate"/>
            </w:r>
            <w:r>
              <w:rPr>
                <w:noProof/>
                <w:webHidden/>
              </w:rPr>
              <w:t>7</w:t>
            </w:r>
            <w:r>
              <w:rPr>
                <w:noProof/>
                <w:webHidden/>
              </w:rPr>
              <w:fldChar w:fldCharType="end"/>
            </w:r>
          </w:hyperlink>
        </w:p>
        <w:p w14:paraId="2CADCE6B" w14:textId="5488B044" w:rsidR="00EF3F50" w:rsidRDefault="00EF3F50">
          <w:pPr>
            <w:pStyle w:val="TOC2"/>
            <w:tabs>
              <w:tab w:val="left" w:pos="660"/>
              <w:tab w:val="right" w:leader="dot" w:pos="9350"/>
            </w:tabs>
            <w:rPr>
              <w:rFonts w:eastAsiaTheme="minorEastAsia"/>
              <w:noProof/>
            </w:rPr>
          </w:pPr>
          <w:hyperlink w:anchor="_Toc200097060" w:history="1">
            <w:r w:rsidRPr="00FE3D75">
              <w:rPr>
                <w:rStyle w:val="Hyperlink"/>
                <w:rFonts w:eastAsia="Times New Roman"/>
                <w:noProof/>
              </w:rPr>
              <w:t>A.</w:t>
            </w:r>
            <w:r>
              <w:rPr>
                <w:rFonts w:eastAsiaTheme="minorEastAsia"/>
                <w:noProof/>
              </w:rPr>
              <w:tab/>
            </w:r>
            <w:r w:rsidRPr="00FE3D75">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_Toc200097060 \h </w:instrText>
            </w:r>
            <w:r>
              <w:rPr>
                <w:noProof/>
                <w:webHidden/>
              </w:rPr>
            </w:r>
            <w:r>
              <w:rPr>
                <w:noProof/>
                <w:webHidden/>
              </w:rPr>
              <w:fldChar w:fldCharType="separate"/>
            </w:r>
            <w:r>
              <w:rPr>
                <w:noProof/>
                <w:webHidden/>
              </w:rPr>
              <w:t>7</w:t>
            </w:r>
            <w:r>
              <w:rPr>
                <w:noProof/>
                <w:webHidden/>
              </w:rPr>
              <w:fldChar w:fldCharType="end"/>
            </w:r>
          </w:hyperlink>
        </w:p>
        <w:p w14:paraId="22D49A24" w14:textId="6C3CD325" w:rsidR="00EF3F50" w:rsidRDefault="00EF3F50">
          <w:pPr>
            <w:pStyle w:val="TOC2"/>
            <w:tabs>
              <w:tab w:val="left" w:pos="660"/>
              <w:tab w:val="right" w:leader="dot" w:pos="9350"/>
            </w:tabs>
            <w:rPr>
              <w:rFonts w:eastAsiaTheme="minorEastAsia"/>
              <w:noProof/>
            </w:rPr>
          </w:pPr>
          <w:hyperlink w:anchor="_Toc200097061" w:history="1">
            <w:r w:rsidRPr="00FE3D75">
              <w:rPr>
                <w:rStyle w:val="Hyperlink"/>
                <w:rFonts w:eastAsia="Times New Roman"/>
                <w:noProof/>
              </w:rPr>
              <w:t>B.</w:t>
            </w:r>
            <w:r>
              <w:rPr>
                <w:rFonts w:eastAsiaTheme="minorEastAsia"/>
                <w:noProof/>
              </w:rPr>
              <w:tab/>
            </w:r>
            <w:r w:rsidRPr="00FE3D75">
              <w:rPr>
                <w:rStyle w:val="Hyperlink"/>
                <w:rFonts w:eastAsia="Times New Roman"/>
                <w:noProof/>
              </w:rPr>
              <w:t>Tax Exempt Status</w:t>
            </w:r>
            <w:r>
              <w:rPr>
                <w:noProof/>
                <w:webHidden/>
              </w:rPr>
              <w:tab/>
            </w:r>
            <w:r>
              <w:rPr>
                <w:noProof/>
                <w:webHidden/>
              </w:rPr>
              <w:fldChar w:fldCharType="begin"/>
            </w:r>
            <w:r>
              <w:rPr>
                <w:noProof/>
                <w:webHidden/>
              </w:rPr>
              <w:instrText xml:space="preserve"> PAGEREF _Toc200097061 \h </w:instrText>
            </w:r>
            <w:r>
              <w:rPr>
                <w:noProof/>
                <w:webHidden/>
              </w:rPr>
            </w:r>
            <w:r>
              <w:rPr>
                <w:noProof/>
                <w:webHidden/>
              </w:rPr>
              <w:fldChar w:fldCharType="separate"/>
            </w:r>
            <w:r>
              <w:rPr>
                <w:noProof/>
                <w:webHidden/>
              </w:rPr>
              <w:t>7</w:t>
            </w:r>
            <w:r>
              <w:rPr>
                <w:noProof/>
                <w:webHidden/>
              </w:rPr>
              <w:fldChar w:fldCharType="end"/>
            </w:r>
          </w:hyperlink>
        </w:p>
        <w:p w14:paraId="512A248E" w14:textId="469F456A" w:rsidR="00EF3F50" w:rsidRDefault="00EF3F50">
          <w:pPr>
            <w:pStyle w:val="TOC2"/>
            <w:tabs>
              <w:tab w:val="left" w:pos="660"/>
              <w:tab w:val="right" w:leader="dot" w:pos="9350"/>
            </w:tabs>
            <w:rPr>
              <w:rFonts w:eastAsiaTheme="minorEastAsia"/>
              <w:noProof/>
            </w:rPr>
          </w:pPr>
          <w:hyperlink w:anchor="_Toc200097062" w:history="1">
            <w:r w:rsidRPr="00FE3D75">
              <w:rPr>
                <w:rStyle w:val="Hyperlink"/>
                <w:rFonts w:eastAsia="Times New Roman"/>
                <w:noProof/>
              </w:rPr>
              <w:t>C.</w:t>
            </w:r>
            <w:r>
              <w:rPr>
                <w:rFonts w:eastAsiaTheme="minorEastAsia"/>
                <w:noProof/>
              </w:rPr>
              <w:tab/>
            </w:r>
            <w:r w:rsidRPr="00FE3D75">
              <w:rPr>
                <w:rStyle w:val="Hyperlink"/>
                <w:rFonts w:eastAsia="Times New Roman"/>
                <w:noProof/>
              </w:rPr>
              <w:t>Payment Terms</w:t>
            </w:r>
            <w:r>
              <w:rPr>
                <w:noProof/>
                <w:webHidden/>
              </w:rPr>
              <w:tab/>
            </w:r>
            <w:r>
              <w:rPr>
                <w:noProof/>
                <w:webHidden/>
              </w:rPr>
              <w:fldChar w:fldCharType="begin"/>
            </w:r>
            <w:r>
              <w:rPr>
                <w:noProof/>
                <w:webHidden/>
              </w:rPr>
              <w:instrText xml:space="preserve"> PAGEREF _Toc200097062 \h </w:instrText>
            </w:r>
            <w:r>
              <w:rPr>
                <w:noProof/>
                <w:webHidden/>
              </w:rPr>
            </w:r>
            <w:r>
              <w:rPr>
                <w:noProof/>
                <w:webHidden/>
              </w:rPr>
              <w:fldChar w:fldCharType="separate"/>
            </w:r>
            <w:r>
              <w:rPr>
                <w:noProof/>
                <w:webHidden/>
              </w:rPr>
              <w:t>7</w:t>
            </w:r>
            <w:r>
              <w:rPr>
                <w:noProof/>
                <w:webHidden/>
              </w:rPr>
              <w:fldChar w:fldCharType="end"/>
            </w:r>
          </w:hyperlink>
        </w:p>
        <w:p w14:paraId="58C92E61" w14:textId="27AF3C83" w:rsidR="00EF3F50" w:rsidRDefault="00EF3F50">
          <w:pPr>
            <w:pStyle w:val="TOC1"/>
            <w:tabs>
              <w:tab w:val="left" w:pos="660"/>
              <w:tab w:val="right" w:leader="dot" w:pos="9350"/>
            </w:tabs>
            <w:rPr>
              <w:rFonts w:eastAsiaTheme="minorEastAsia"/>
              <w:noProof/>
            </w:rPr>
          </w:pPr>
          <w:hyperlink w:anchor="_Toc200097063" w:history="1">
            <w:r w:rsidRPr="00FE3D75">
              <w:rPr>
                <w:rStyle w:val="Hyperlink"/>
                <w:rFonts w:eastAsia="Times New Roman"/>
                <w:noProof/>
              </w:rPr>
              <w:t>VI.</w:t>
            </w:r>
            <w:r>
              <w:rPr>
                <w:rFonts w:eastAsiaTheme="minorEastAsia"/>
                <w:noProof/>
              </w:rPr>
              <w:tab/>
            </w:r>
            <w:r w:rsidRPr="00FE3D75">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_Toc200097063 \h </w:instrText>
            </w:r>
            <w:r>
              <w:rPr>
                <w:noProof/>
                <w:webHidden/>
              </w:rPr>
            </w:r>
            <w:r>
              <w:rPr>
                <w:noProof/>
                <w:webHidden/>
              </w:rPr>
              <w:fldChar w:fldCharType="separate"/>
            </w:r>
            <w:r>
              <w:rPr>
                <w:noProof/>
                <w:webHidden/>
              </w:rPr>
              <w:t>7</w:t>
            </w:r>
            <w:r>
              <w:rPr>
                <w:noProof/>
                <w:webHidden/>
              </w:rPr>
              <w:fldChar w:fldCharType="end"/>
            </w:r>
          </w:hyperlink>
        </w:p>
        <w:p w14:paraId="3905346D" w14:textId="5F8715DA" w:rsidR="00EF3F50" w:rsidRDefault="00EF3F50">
          <w:pPr>
            <w:pStyle w:val="TOC2"/>
            <w:tabs>
              <w:tab w:val="left" w:pos="660"/>
              <w:tab w:val="right" w:leader="dot" w:pos="9350"/>
            </w:tabs>
            <w:rPr>
              <w:rFonts w:eastAsiaTheme="minorEastAsia"/>
              <w:noProof/>
            </w:rPr>
          </w:pPr>
          <w:hyperlink w:anchor="_Toc200097064" w:history="1">
            <w:r w:rsidRPr="00FE3D75">
              <w:rPr>
                <w:rStyle w:val="Hyperlink"/>
                <w:rFonts w:eastAsia="Times New Roman"/>
                <w:noProof/>
              </w:rPr>
              <w:t>A.</w:t>
            </w:r>
            <w:r>
              <w:rPr>
                <w:rFonts w:eastAsiaTheme="minorEastAsia"/>
                <w:noProof/>
              </w:rPr>
              <w:tab/>
            </w:r>
            <w:r w:rsidRPr="00FE3D75">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_Toc200097064 \h </w:instrText>
            </w:r>
            <w:r>
              <w:rPr>
                <w:noProof/>
                <w:webHidden/>
              </w:rPr>
            </w:r>
            <w:r>
              <w:rPr>
                <w:noProof/>
                <w:webHidden/>
              </w:rPr>
              <w:fldChar w:fldCharType="separate"/>
            </w:r>
            <w:r>
              <w:rPr>
                <w:noProof/>
                <w:webHidden/>
              </w:rPr>
              <w:t>7</w:t>
            </w:r>
            <w:r>
              <w:rPr>
                <w:noProof/>
                <w:webHidden/>
              </w:rPr>
              <w:fldChar w:fldCharType="end"/>
            </w:r>
          </w:hyperlink>
        </w:p>
        <w:p w14:paraId="17B916BC" w14:textId="6BAF8E99" w:rsidR="00EF3F50" w:rsidRDefault="00EF3F50">
          <w:pPr>
            <w:pStyle w:val="TOC1"/>
            <w:tabs>
              <w:tab w:val="left" w:pos="660"/>
              <w:tab w:val="right" w:leader="dot" w:pos="9350"/>
            </w:tabs>
            <w:rPr>
              <w:rFonts w:eastAsiaTheme="minorEastAsia"/>
              <w:noProof/>
            </w:rPr>
          </w:pPr>
          <w:hyperlink w:anchor="_Toc200097065" w:history="1">
            <w:r w:rsidRPr="00FE3D75">
              <w:rPr>
                <w:rStyle w:val="Hyperlink"/>
                <w:rFonts w:eastAsia="Times New Roman"/>
                <w:noProof/>
              </w:rPr>
              <w:t>VII.</w:t>
            </w:r>
            <w:r>
              <w:rPr>
                <w:rFonts w:eastAsiaTheme="minorEastAsia"/>
                <w:noProof/>
              </w:rPr>
              <w:tab/>
            </w:r>
            <w:r w:rsidRPr="00FE3D75">
              <w:rPr>
                <w:rStyle w:val="Hyperlink"/>
                <w:rFonts w:eastAsia="Times New Roman"/>
                <w:noProof/>
              </w:rPr>
              <w:t>Vendor Requirements</w:t>
            </w:r>
            <w:r>
              <w:rPr>
                <w:noProof/>
                <w:webHidden/>
              </w:rPr>
              <w:tab/>
            </w:r>
            <w:r>
              <w:rPr>
                <w:noProof/>
                <w:webHidden/>
              </w:rPr>
              <w:fldChar w:fldCharType="begin"/>
            </w:r>
            <w:r>
              <w:rPr>
                <w:noProof/>
                <w:webHidden/>
              </w:rPr>
              <w:instrText xml:space="preserve"> PAGEREF _Toc200097065 \h </w:instrText>
            </w:r>
            <w:r>
              <w:rPr>
                <w:noProof/>
                <w:webHidden/>
              </w:rPr>
            </w:r>
            <w:r>
              <w:rPr>
                <w:noProof/>
                <w:webHidden/>
              </w:rPr>
              <w:fldChar w:fldCharType="separate"/>
            </w:r>
            <w:r>
              <w:rPr>
                <w:noProof/>
                <w:webHidden/>
              </w:rPr>
              <w:t>7</w:t>
            </w:r>
            <w:r>
              <w:rPr>
                <w:noProof/>
                <w:webHidden/>
              </w:rPr>
              <w:fldChar w:fldCharType="end"/>
            </w:r>
          </w:hyperlink>
        </w:p>
        <w:p w14:paraId="32A9FBAC" w14:textId="4196A996" w:rsidR="00EF3F50" w:rsidRDefault="00EF3F50">
          <w:pPr>
            <w:pStyle w:val="TOC2"/>
            <w:tabs>
              <w:tab w:val="left" w:pos="660"/>
              <w:tab w:val="right" w:leader="dot" w:pos="9350"/>
            </w:tabs>
            <w:rPr>
              <w:rFonts w:eastAsiaTheme="minorEastAsia"/>
              <w:noProof/>
            </w:rPr>
          </w:pPr>
          <w:hyperlink w:anchor="_Toc200097066" w:history="1">
            <w:r w:rsidRPr="00FE3D75">
              <w:rPr>
                <w:rStyle w:val="Hyperlink"/>
                <w:rFonts w:eastAsia="Times New Roman"/>
                <w:noProof/>
              </w:rPr>
              <w:t>A.</w:t>
            </w:r>
            <w:r>
              <w:rPr>
                <w:rFonts w:eastAsiaTheme="minorEastAsia"/>
                <w:noProof/>
              </w:rPr>
              <w:tab/>
            </w:r>
            <w:r w:rsidRPr="00FE3D75">
              <w:rPr>
                <w:rStyle w:val="Hyperlink"/>
                <w:rFonts w:eastAsia="Times New Roman"/>
                <w:noProof/>
              </w:rPr>
              <w:t>Proposal</w:t>
            </w:r>
            <w:r>
              <w:rPr>
                <w:noProof/>
                <w:webHidden/>
              </w:rPr>
              <w:tab/>
            </w:r>
            <w:r>
              <w:rPr>
                <w:noProof/>
                <w:webHidden/>
              </w:rPr>
              <w:fldChar w:fldCharType="begin"/>
            </w:r>
            <w:r>
              <w:rPr>
                <w:noProof/>
                <w:webHidden/>
              </w:rPr>
              <w:instrText xml:space="preserve"> PAGEREF _Toc200097066 \h </w:instrText>
            </w:r>
            <w:r>
              <w:rPr>
                <w:noProof/>
                <w:webHidden/>
              </w:rPr>
            </w:r>
            <w:r>
              <w:rPr>
                <w:noProof/>
                <w:webHidden/>
              </w:rPr>
              <w:fldChar w:fldCharType="separate"/>
            </w:r>
            <w:r>
              <w:rPr>
                <w:noProof/>
                <w:webHidden/>
              </w:rPr>
              <w:t>7</w:t>
            </w:r>
            <w:r>
              <w:rPr>
                <w:noProof/>
                <w:webHidden/>
              </w:rPr>
              <w:fldChar w:fldCharType="end"/>
            </w:r>
          </w:hyperlink>
        </w:p>
        <w:p w14:paraId="3E28B300" w14:textId="19A3A90B" w:rsidR="00EF3F50" w:rsidRDefault="00EF3F50">
          <w:pPr>
            <w:pStyle w:val="TOC2"/>
            <w:tabs>
              <w:tab w:val="left" w:pos="660"/>
              <w:tab w:val="right" w:leader="dot" w:pos="9350"/>
            </w:tabs>
            <w:rPr>
              <w:rFonts w:eastAsiaTheme="minorEastAsia"/>
              <w:noProof/>
            </w:rPr>
          </w:pPr>
          <w:hyperlink w:anchor="_Toc200097067" w:history="1">
            <w:r w:rsidRPr="00FE3D75">
              <w:rPr>
                <w:rStyle w:val="Hyperlink"/>
                <w:rFonts w:eastAsia="Times New Roman"/>
                <w:noProof/>
              </w:rPr>
              <w:t>B.</w:t>
            </w:r>
            <w:r>
              <w:rPr>
                <w:rFonts w:eastAsiaTheme="minorEastAsia"/>
                <w:noProof/>
              </w:rPr>
              <w:tab/>
            </w:r>
            <w:r w:rsidRPr="00FE3D75">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_Toc200097067 \h </w:instrText>
            </w:r>
            <w:r>
              <w:rPr>
                <w:noProof/>
                <w:webHidden/>
              </w:rPr>
            </w:r>
            <w:r>
              <w:rPr>
                <w:noProof/>
                <w:webHidden/>
              </w:rPr>
              <w:fldChar w:fldCharType="separate"/>
            </w:r>
            <w:r>
              <w:rPr>
                <w:noProof/>
                <w:webHidden/>
              </w:rPr>
              <w:t>7</w:t>
            </w:r>
            <w:r>
              <w:rPr>
                <w:noProof/>
                <w:webHidden/>
              </w:rPr>
              <w:fldChar w:fldCharType="end"/>
            </w:r>
          </w:hyperlink>
        </w:p>
        <w:p w14:paraId="3A67E5B6" w14:textId="48914964" w:rsidR="00EF3F50" w:rsidRDefault="00EF3F50">
          <w:pPr>
            <w:pStyle w:val="TOC1"/>
            <w:tabs>
              <w:tab w:val="left" w:pos="660"/>
              <w:tab w:val="right" w:leader="dot" w:pos="9350"/>
            </w:tabs>
            <w:rPr>
              <w:rFonts w:eastAsiaTheme="minorEastAsia"/>
              <w:noProof/>
            </w:rPr>
          </w:pPr>
          <w:hyperlink w:anchor="_Toc200097068" w:history="1">
            <w:r w:rsidRPr="00FE3D75">
              <w:rPr>
                <w:rStyle w:val="Hyperlink"/>
                <w:rFonts w:eastAsia="Times New Roman"/>
                <w:noProof/>
              </w:rPr>
              <w:t>VIII.</w:t>
            </w:r>
            <w:r>
              <w:rPr>
                <w:rFonts w:eastAsiaTheme="minorEastAsia"/>
                <w:noProof/>
              </w:rPr>
              <w:tab/>
            </w:r>
            <w:r w:rsidRPr="00FE3D75">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_Toc200097068 \h </w:instrText>
            </w:r>
            <w:r>
              <w:rPr>
                <w:noProof/>
                <w:webHidden/>
              </w:rPr>
            </w:r>
            <w:r>
              <w:rPr>
                <w:noProof/>
                <w:webHidden/>
              </w:rPr>
              <w:fldChar w:fldCharType="separate"/>
            </w:r>
            <w:r>
              <w:rPr>
                <w:noProof/>
                <w:webHidden/>
              </w:rPr>
              <w:t>7</w:t>
            </w:r>
            <w:r>
              <w:rPr>
                <w:noProof/>
                <w:webHidden/>
              </w:rPr>
              <w:fldChar w:fldCharType="end"/>
            </w:r>
          </w:hyperlink>
        </w:p>
        <w:p w14:paraId="23BBE583" w14:textId="3EE4415F"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Default="00E96538" w:rsidP="00E96538">
      <w:pPr>
        <w:pStyle w:val="Heading1"/>
      </w:pPr>
      <w:bookmarkStart w:id="0" w:name="_Toc200097045"/>
      <w:r>
        <w:lastRenderedPageBreak/>
        <w:t>Introduction</w:t>
      </w:r>
      <w:bookmarkEnd w:id="0"/>
    </w:p>
    <w:p w14:paraId="4AFC9530"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71DD4D" w14:textId="77777777" w:rsidR="00E96538" w:rsidRDefault="00E96538" w:rsidP="00E96538">
      <w:pPr>
        <w:pStyle w:val="Heading1"/>
      </w:pPr>
      <w:bookmarkStart w:id="1" w:name="_Toc200097046"/>
      <w:r>
        <w:t>RFP Objective</w:t>
      </w:r>
      <w:bookmarkEnd w:id="1"/>
    </w:p>
    <w:p w14:paraId="7443B580" w14:textId="7A93824A"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FB0BAC">
        <w:rPr>
          <w:rFonts w:eastAsia="Times New Roman" w:cstheme="minorHAnsi"/>
        </w:rPr>
        <w:t xml:space="preserve"> Stage Lighting vendor to supply Stage Lighting for Seneca Resorts &amp; Casinos</w:t>
      </w:r>
    </w:p>
    <w:p w14:paraId="18BE909E" w14:textId="67232E7C" w:rsidR="003401B6" w:rsidRDefault="00FB0BAC" w:rsidP="003401B6">
      <w:pPr>
        <w:pStyle w:val="Heading1"/>
      </w:pPr>
      <w:bookmarkStart w:id="2" w:name="_Toc187756661"/>
      <w:bookmarkStart w:id="3" w:name="_Toc200097047"/>
      <w:r>
        <w:t>Specifications</w:t>
      </w:r>
      <w:r w:rsidR="003401B6">
        <w:t>:</w:t>
      </w:r>
      <w:bookmarkEnd w:id="2"/>
      <w:bookmarkEnd w:id="3"/>
    </w:p>
    <w:tbl>
      <w:tblPr>
        <w:tblStyle w:val="TableGrid"/>
        <w:tblW w:w="0" w:type="auto"/>
        <w:tblInd w:w="805" w:type="dxa"/>
        <w:tblLayout w:type="fixed"/>
        <w:tblLook w:val="04A0" w:firstRow="1" w:lastRow="0" w:firstColumn="1" w:lastColumn="0" w:noHBand="0" w:noVBand="1"/>
      </w:tblPr>
      <w:tblGrid>
        <w:gridCol w:w="1170"/>
        <w:gridCol w:w="755"/>
        <w:gridCol w:w="3925"/>
        <w:gridCol w:w="2695"/>
      </w:tblGrid>
      <w:tr w:rsidR="00977F8D" w:rsidRPr="00977F8D" w14:paraId="3961C64B" w14:textId="6FD4D033" w:rsidTr="00EF3F50">
        <w:tc>
          <w:tcPr>
            <w:tcW w:w="1170" w:type="dxa"/>
          </w:tcPr>
          <w:p w14:paraId="51E27826" w14:textId="04DE1243" w:rsidR="00977F8D" w:rsidRPr="00977F8D" w:rsidRDefault="00977F8D" w:rsidP="00977F8D">
            <w:pPr>
              <w:jc w:val="center"/>
            </w:pPr>
            <w:r>
              <w:t>Qty</w:t>
            </w:r>
          </w:p>
        </w:tc>
        <w:tc>
          <w:tcPr>
            <w:tcW w:w="755" w:type="dxa"/>
          </w:tcPr>
          <w:p w14:paraId="70481DCE" w14:textId="6A7C80E4" w:rsidR="00977F8D" w:rsidRPr="00977F8D" w:rsidRDefault="00977F8D" w:rsidP="00043246">
            <w:r w:rsidRPr="00977F8D">
              <w:t>U/M</w:t>
            </w:r>
          </w:p>
        </w:tc>
        <w:tc>
          <w:tcPr>
            <w:tcW w:w="3925" w:type="dxa"/>
          </w:tcPr>
          <w:p w14:paraId="7828340D" w14:textId="68C53326" w:rsidR="00977F8D" w:rsidRPr="00977F8D" w:rsidRDefault="00977F8D" w:rsidP="00043246">
            <w:r w:rsidRPr="00977F8D">
              <w:t>Item</w:t>
            </w:r>
          </w:p>
        </w:tc>
        <w:tc>
          <w:tcPr>
            <w:tcW w:w="2695" w:type="dxa"/>
          </w:tcPr>
          <w:p w14:paraId="52442059" w14:textId="1B00CC6A" w:rsidR="00977F8D" w:rsidRPr="00977F8D" w:rsidRDefault="00EF3F50" w:rsidP="00043246">
            <w:r>
              <w:t>D</w:t>
            </w:r>
            <w:r w:rsidR="00977F8D" w:rsidRPr="00977F8D">
              <w:t>elivery timeframe</w:t>
            </w:r>
            <w:r w:rsidR="00977F8D">
              <w:t>*</w:t>
            </w:r>
          </w:p>
        </w:tc>
      </w:tr>
      <w:tr w:rsidR="00977F8D" w:rsidRPr="00977F8D" w14:paraId="386F731B" w14:textId="1A99DEDC" w:rsidTr="00EF3F50">
        <w:tc>
          <w:tcPr>
            <w:tcW w:w="1170" w:type="dxa"/>
          </w:tcPr>
          <w:p w14:paraId="7700F08D" w14:textId="77777777" w:rsidR="00977F8D" w:rsidRPr="00977F8D" w:rsidRDefault="00977F8D" w:rsidP="00043246">
            <w:pPr>
              <w:rPr>
                <w:rFonts w:cstheme="minorHAnsi"/>
              </w:rPr>
            </w:pPr>
            <w:r w:rsidRPr="00977F8D">
              <w:rPr>
                <w:rFonts w:cstheme="minorHAnsi"/>
              </w:rPr>
              <w:t xml:space="preserve">16 </w:t>
            </w:r>
          </w:p>
        </w:tc>
        <w:tc>
          <w:tcPr>
            <w:tcW w:w="755" w:type="dxa"/>
          </w:tcPr>
          <w:p w14:paraId="0545A336" w14:textId="1DA763DC" w:rsidR="00977F8D" w:rsidRPr="00977F8D" w:rsidRDefault="00EF3F50" w:rsidP="00043246">
            <w:pPr>
              <w:rPr>
                <w:rFonts w:cstheme="minorHAnsi"/>
              </w:rPr>
            </w:pPr>
            <w:r>
              <w:rPr>
                <w:rFonts w:cstheme="minorHAnsi"/>
              </w:rPr>
              <w:t>Ea.</w:t>
            </w:r>
          </w:p>
        </w:tc>
        <w:tc>
          <w:tcPr>
            <w:tcW w:w="3925" w:type="dxa"/>
          </w:tcPr>
          <w:p w14:paraId="7A195219" w14:textId="19AC6259" w:rsidR="00977F8D" w:rsidRPr="00977F8D" w:rsidRDefault="00977F8D" w:rsidP="00043246">
            <w:pPr>
              <w:rPr>
                <w:rFonts w:cstheme="minorHAnsi"/>
              </w:rPr>
            </w:pPr>
            <w:r w:rsidRPr="00977F8D">
              <w:rPr>
                <w:rFonts w:cstheme="minorHAnsi"/>
              </w:rPr>
              <w:t xml:space="preserve"> Chauvet Professional Maverick Force 2 Profile</w:t>
            </w:r>
          </w:p>
        </w:tc>
        <w:tc>
          <w:tcPr>
            <w:tcW w:w="2695" w:type="dxa"/>
          </w:tcPr>
          <w:p w14:paraId="1C076050" w14:textId="77777777" w:rsidR="00977F8D" w:rsidRPr="00977F8D" w:rsidRDefault="00977F8D" w:rsidP="00043246">
            <w:pPr>
              <w:rPr>
                <w:rFonts w:cstheme="minorHAnsi"/>
              </w:rPr>
            </w:pPr>
          </w:p>
        </w:tc>
      </w:tr>
      <w:tr w:rsidR="00977F8D" w:rsidRPr="00977F8D" w14:paraId="6CE8C64F" w14:textId="62068DFD" w:rsidTr="00EF3F50">
        <w:tc>
          <w:tcPr>
            <w:tcW w:w="1170" w:type="dxa"/>
          </w:tcPr>
          <w:p w14:paraId="2E7124A7" w14:textId="7D638926" w:rsidR="00977F8D" w:rsidRPr="00977F8D" w:rsidRDefault="00977F8D" w:rsidP="00043246">
            <w:pPr>
              <w:rPr>
                <w:rFonts w:cstheme="minorHAnsi"/>
              </w:rPr>
            </w:pPr>
            <w:r>
              <w:rPr>
                <w:rFonts w:cstheme="minorHAnsi"/>
              </w:rPr>
              <w:t>24</w:t>
            </w:r>
          </w:p>
        </w:tc>
        <w:tc>
          <w:tcPr>
            <w:tcW w:w="755" w:type="dxa"/>
          </w:tcPr>
          <w:p w14:paraId="33AFAE47" w14:textId="221184AE" w:rsidR="00977F8D" w:rsidRPr="00B211EA" w:rsidRDefault="00977F8D" w:rsidP="00043246">
            <w:pPr>
              <w:rPr>
                <w:rFonts w:cstheme="minorHAnsi"/>
              </w:rPr>
            </w:pPr>
            <w:r>
              <w:rPr>
                <w:rFonts w:cstheme="minorHAnsi"/>
              </w:rPr>
              <w:t>Ea.</w:t>
            </w:r>
          </w:p>
        </w:tc>
        <w:tc>
          <w:tcPr>
            <w:tcW w:w="3925" w:type="dxa"/>
          </w:tcPr>
          <w:p w14:paraId="4597D590" w14:textId="5B930EE8" w:rsidR="00977F8D" w:rsidRPr="00977F8D" w:rsidRDefault="00977F8D" w:rsidP="00043246">
            <w:pPr>
              <w:rPr>
                <w:rFonts w:cstheme="minorHAnsi"/>
              </w:rPr>
            </w:pPr>
            <w:r w:rsidRPr="00B211EA">
              <w:rPr>
                <w:rFonts w:cstheme="minorHAnsi"/>
              </w:rPr>
              <w:t>Chauvet Professional Rouge R2AX Wash</w:t>
            </w:r>
          </w:p>
        </w:tc>
        <w:tc>
          <w:tcPr>
            <w:tcW w:w="2695" w:type="dxa"/>
          </w:tcPr>
          <w:p w14:paraId="30821434" w14:textId="77777777" w:rsidR="00977F8D" w:rsidRPr="00B211EA" w:rsidRDefault="00977F8D" w:rsidP="00043246">
            <w:pPr>
              <w:rPr>
                <w:rFonts w:cstheme="minorHAnsi"/>
              </w:rPr>
            </w:pPr>
          </w:p>
        </w:tc>
      </w:tr>
    </w:tbl>
    <w:p w14:paraId="118E27B8" w14:textId="63EC62B0" w:rsidR="00B211EA" w:rsidRDefault="00B211EA" w:rsidP="003401B6">
      <w:pPr>
        <w:ind w:left="360"/>
        <w:rPr>
          <w:rFonts w:cstheme="minorHAnsi"/>
        </w:rPr>
      </w:pPr>
      <w:r w:rsidRPr="00B211EA">
        <w:rPr>
          <w:rFonts w:cstheme="minorHAnsi"/>
        </w:rPr>
        <w:tab/>
      </w:r>
      <w:r w:rsidR="00977F8D">
        <w:rPr>
          <w:rFonts w:cstheme="minorHAnsi"/>
        </w:rPr>
        <w:t>*</w:t>
      </w:r>
      <w:r w:rsidRPr="00B211EA">
        <w:rPr>
          <w:rFonts w:cstheme="minorHAnsi"/>
        </w:rPr>
        <w:t>Delivery time frame needs to be submitted with your pricing.</w:t>
      </w:r>
    </w:p>
    <w:p w14:paraId="658B5FA1" w14:textId="78EFBD5D" w:rsidR="00746C11" w:rsidRPr="00B211EA" w:rsidRDefault="00FB0BAC" w:rsidP="00746C11">
      <w:pPr>
        <w:ind w:left="360"/>
        <w:rPr>
          <w:rFonts w:cstheme="minorHAnsi"/>
          <w:bCs/>
          <w:iCs/>
          <w:u w:val="single"/>
        </w:rPr>
      </w:pPr>
      <w:r>
        <w:rPr>
          <w:rFonts w:cstheme="minorHAnsi"/>
          <w:sz w:val="21"/>
          <w:szCs w:val="21"/>
        </w:rPr>
        <w:tab/>
      </w:r>
      <w:bookmarkStart w:id="4" w:name="_Hlk200094026"/>
      <w:r w:rsidR="00746C11" w:rsidRPr="00EF3F50">
        <w:rPr>
          <w:rFonts w:cstheme="minorHAnsi"/>
          <w:b/>
          <w:sz w:val="21"/>
          <w:szCs w:val="21"/>
        </w:rPr>
        <w:t xml:space="preserve"> </w:t>
      </w:r>
      <w:r w:rsidR="00B211EA" w:rsidRPr="00EF3F50">
        <w:rPr>
          <w:rFonts w:cstheme="minorHAnsi"/>
          <w:b/>
          <w:iCs/>
          <w:u w:val="single"/>
        </w:rPr>
        <w:t>Pricing Requirements</w:t>
      </w:r>
      <w:r w:rsidR="00B211EA" w:rsidRPr="00B211EA">
        <w:rPr>
          <w:rFonts w:cstheme="minorHAnsi"/>
          <w:bCs/>
          <w:iCs/>
          <w:u w:val="single"/>
        </w:rPr>
        <w:t>:</w:t>
      </w:r>
    </w:p>
    <w:p w14:paraId="2EE09D8C" w14:textId="77777777" w:rsidR="00746C11" w:rsidRPr="00746C11" w:rsidRDefault="00746C11" w:rsidP="00746C11">
      <w:pPr>
        <w:numPr>
          <w:ilvl w:val="0"/>
          <w:numId w:val="10"/>
        </w:numPr>
        <w:rPr>
          <w:rFonts w:cstheme="minorHAnsi"/>
          <w:bCs/>
          <w:iCs/>
        </w:rPr>
      </w:pPr>
      <w:bookmarkStart w:id="5" w:name="_Hlk161932549"/>
      <w:r w:rsidRPr="00746C11">
        <w:rPr>
          <w:rFonts w:cstheme="minorHAnsi"/>
          <w:bCs/>
          <w:iCs/>
        </w:rPr>
        <w:t>Freight is to be included in the proposed cost of goods.</w:t>
      </w:r>
    </w:p>
    <w:p w14:paraId="79438B64" w14:textId="20409A6A" w:rsidR="00746C11" w:rsidRPr="00B211EA" w:rsidRDefault="00746C11" w:rsidP="00746C11">
      <w:pPr>
        <w:numPr>
          <w:ilvl w:val="0"/>
          <w:numId w:val="10"/>
        </w:numPr>
        <w:rPr>
          <w:rFonts w:cstheme="minorHAnsi"/>
          <w:bCs/>
          <w:iCs/>
        </w:rPr>
      </w:pPr>
      <w:r w:rsidRPr="00746C11">
        <w:rPr>
          <w:rFonts w:cstheme="minorHAnsi"/>
          <w:bCs/>
          <w:iCs/>
        </w:rPr>
        <w:t>Any incentives, such as rebates, promotions, etc. are to be applied to item cost up front.  Incentives will not be applied at time of invoice or later as a separate transaction.</w:t>
      </w:r>
    </w:p>
    <w:p w14:paraId="69709146" w14:textId="040EDEE0" w:rsidR="00B211EA" w:rsidRPr="00B211EA" w:rsidRDefault="00B211EA" w:rsidP="00746C11">
      <w:pPr>
        <w:numPr>
          <w:ilvl w:val="0"/>
          <w:numId w:val="10"/>
        </w:numPr>
        <w:rPr>
          <w:rFonts w:cstheme="minorHAnsi"/>
          <w:bCs/>
          <w:iCs/>
        </w:rPr>
      </w:pPr>
      <w:r w:rsidRPr="00B211EA">
        <w:rPr>
          <w:rFonts w:cstheme="minorHAnsi"/>
          <w:bCs/>
          <w:iCs/>
        </w:rPr>
        <w:t>List and warranties that are offered</w:t>
      </w:r>
    </w:p>
    <w:p w14:paraId="31F12B6D" w14:textId="7A87CA33" w:rsidR="00B211EA" w:rsidRPr="00B211EA" w:rsidRDefault="00B211EA" w:rsidP="00746C11">
      <w:pPr>
        <w:spacing w:after="0"/>
        <w:ind w:firstLine="720"/>
        <w:rPr>
          <w:b/>
          <w:iCs/>
        </w:rPr>
      </w:pPr>
      <w:r w:rsidRPr="00EF3F50">
        <w:rPr>
          <w:b/>
          <w:iCs/>
          <w:u w:val="single"/>
        </w:rPr>
        <w:t>Delivery Requirements</w:t>
      </w:r>
      <w:r w:rsidRPr="00B211EA">
        <w:rPr>
          <w:bCs/>
          <w:iCs/>
        </w:rPr>
        <w:t>:</w:t>
      </w:r>
      <w:r>
        <w:rPr>
          <w:b/>
          <w:iCs/>
        </w:rPr>
        <w:tab/>
      </w:r>
    </w:p>
    <w:p w14:paraId="407F465B" w14:textId="2B037CCC" w:rsidR="00746C11" w:rsidRPr="00B211EA" w:rsidRDefault="00746C11" w:rsidP="00746C11">
      <w:pPr>
        <w:pStyle w:val="ListParagraph"/>
        <w:numPr>
          <w:ilvl w:val="0"/>
          <w:numId w:val="11"/>
        </w:numPr>
        <w:rPr>
          <w:bCs/>
          <w:iCs/>
        </w:rPr>
      </w:pPr>
      <w:r w:rsidRPr="00B211EA">
        <w:rPr>
          <w:bCs/>
          <w:iCs/>
        </w:rPr>
        <w:t xml:space="preserve">Palletized shipments must meet the following requirements; </w:t>
      </w:r>
    </w:p>
    <w:p w14:paraId="6DBAD4F1" w14:textId="77777777" w:rsidR="00746C11" w:rsidRPr="00B211EA" w:rsidRDefault="00746C11" w:rsidP="00746C11">
      <w:pPr>
        <w:pStyle w:val="ListParagraph"/>
        <w:numPr>
          <w:ilvl w:val="1"/>
          <w:numId w:val="11"/>
        </w:numPr>
        <w:rPr>
          <w:bCs/>
          <w:iCs/>
        </w:rPr>
      </w:pPr>
      <w:r w:rsidRPr="00B211EA">
        <w:rPr>
          <w:bCs/>
          <w:iCs/>
        </w:rPr>
        <w:t>Standard 48” x 40” pallets or smaller</w:t>
      </w:r>
    </w:p>
    <w:p w14:paraId="3388111F" w14:textId="77777777" w:rsidR="00746C11" w:rsidRPr="00B211EA" w:rsidRDefault="00746C11" w:rsidP="00746C11">
      <w:pPr>
        <w:pStyle w:val="ListParagraph"/>
        <w:numPr>
          <w:ilvl w:val="1"/>
          <w:numId w:val="11"/>
        </w:numPr>
        <w:rPr>
          <w:bCs/>
          <w:iCs/>
        </w:rPr>
      </w:pPr>
      <w:r w:rsidRPr="00B211EA">
        <w:rPr>
          <w:bCs/>
          <w:iCs/>
        </w:rPr>
        <w:t>Items cannot overhang the edges of the pallets</w:t>
      </w:r>
    </w:p>
    <w:p w14:paraId="06059793" w14:textId="77777777" w:rsidR="00746C11" w:rsidRPr="00B211EA" w:rsidRDefault="00746C11" w:rsidP="00746C11">
      <w:pPr>
        <w:pStyle w:val="ListParagraph"/>
        <w:numPr>
          <w:ilvl w:val="1"/>
          <w:numId w:val="11"/>
        </w:numPr>
        <w:rPr>
          <w:bCs/>
          <w:iCs/>
        </w:rPr>
      </w:pPr>
      <w:r w:rsidRPr="00B211EA">
        <w:rPr>
          <w:bCs/>
          <w:iCs/>
        </w:rPr>
        <w:t>All pallets must be shrink-wrapped</w:t>
      </w:r>
    </w:p>
    <w:p w14:paraId="1F94968E" w14:textId="77777777" w:rsidR="00746C11" w:rsidRPr="00B211EA" w:rsidRDefault="00746C11" w:rsidP="00746C11">
      <w:pPr>
        <w:pStyle w:val="ListParagraph"/>
        <w:numPr>
          <w:ilvl w:val="1"/>
          <w:numId w:val="11"/>
        </w:numPr>
        <w:rPr>
          <w:bCs/>
          <w:iCs/>
        </w:rPr>
      </w:pPr>
      <w:r w:rsidRPr="00B211EA">
        <w:rPr>
          <w:bCs/>
          <w:iCs/>
        </w:rPr>
        <w:t>Pallets cannot exceed 72” high – including the pallet</w:t>
      </w:r>
    </w:p>
    <w:p w14:paraId="22608940" w14:textId="77777777" w:rsidR="00746C11" w:rsidRPr="00B211EA" w:rsidRDefault="00746C11" w:rsidP="00746C11">
      <w:pPr>
        <w:pStyle w:val="ListParagraph"/>
        <w:numPr>
          <w:ilvl w:val="1"/>
          <w:numId w:val="11"/>
        </w:numPr>
        <w:rPr>
          <w:bCs/>
          <w:iCs/>
        </w:rPr>
      </w:pPr>
      <w:r w:rsidRPr="00B211EA">
        <w:rPr>
          <w:bCs/>
          <w:iCs/>
        </w:rPr>
        <w:t>Only pallets with no center support or one (1) support are acceptable.</w:t>
      </w:r>
    </w:p>
    <w:p w14:paraId="6C7E108C" w14:textId="77777777" w:rsidR="00746C11" w:rsidRPr="00B211EA" w:rsidRDefault="00746C11" w:rsidP="00746C11">
      <w:pPr>
        <w:pStyle w:val="ListParagraph"/>
        <w:numPr>
          <w:ilvl w:val="1"/>
          <w:numId w:val="11"/>
        </w:numPr>
        <w:rPr>
          <w:bCs/>
          <w:iCs/>
        </w:rPr>
      </w:pPr>
      <w:r w:rsidRPr="00B211EA">
        <w:rPr>
          <w:bCs/>
          <w:iCs/>
        </w:rPr>
        <w:t>All pallets must be loaded straight forward in trucks – no side loading.</w:t>
      </w:r>
    </w:p>
    <w:p w14:paraId="3B4DC2D2" w14:textId="77777777" w:rsidR="00746C11" w:rsidRPr="00B211EA" w:rsidRDefault="00746C11" w:rsidP="00746C11">
      <w:pPr>
        <w:pStyle w:val="ListParagraph"/>
        <w:numPr>
          <w:ilvl w:val="1"/>
          <w:numId w:val="11"/>
        </w:numPr>
        <w:rPr>
          <w:bCs/>
          <w:iCs/>
        </w:rPr>
      </w:pPr>
      <w:r w:rsidRPr="00B211EA">
        <w:rPr>
          <w:bCs/>
          <w:iCs/>
        </w:rPr>
        <w:t>Non-compliant shipments will be returned at the vendor’s expense.</w:t>
      </w:r>
    </w:p>
    <w:p w14:paraId="3137C4C9" w14:textId="77777777" w:rsidR="00746C11" w:rsidRPr="00B211EA" w:rsidRDefault="00746C11" w:rsidP="00746C11">
      <w:pPr>
        <w:pStyle w:val="ListParagraph"/>
        <w:numPr>
          <w:ilvl w:val="0"/>
          <w:numId w:val="12"/>
        </w:numPr>
        <w:rPr>
          <w:bCs/>
          <w:iCs/>
        </w:rPr>
      </w:pPr>
      <w:r w:rsidRPr="00B211EA">
        <w:rPr>
          <w:bCs/>
          <w:iCs/>
        </w:rPr>
        <w:t>Ship to addresses for each property are as follows:</w:t>
      </w:r>
    </w:p>
    <w:p w14:paraId="43852C56" w14:textId="77777777" w:rsidR="00746C11" w:rsidRPr="00B211EA" w:rsidRDefault="00746C11" w:rsidP="00746C11">
      <w:pPr>
        <w:pStyle w:val="ListParagraph"/>
        <w:numPr>
          <w:ilvl w:val="1"/>
          <w:numId w:val="13"/>
        </w:numPr>
        <w:rPr>
          <w:bCs/>
          <w:iCs/>
        </w:rPr>
      </w:pPr>
      <w:r w:rsidRPr="00B211EA">
        <w:rPr>
          <w:bCs/>
          <w:iCs/>
        </w:rPr>
        <w:t>Seneca Niagara Resort &amp; Casino:</w:t>
      </w:r>
    </w:p>
    <w:p w14:paraId="6702A67F" w14:textId="77777777" w:rsidR="00746C11" w:rsidRPr="00B211EA" w:rsidRDefault="00746C11" w:rsidP="00746C11">
      <w:pPr>
        <w:pStyle w:val="ListParagraph"/>
        <w:numPr>
          <w:ilvl w:val="2"/>
          <w:numId w:val="13"/>
        </w:numPr>
        <w:rPr>
          <w:bCs/>
          <w:iCs/>
        </w:rPr>
      </w:pPr>
      <w:r w:rsidRPr="00B211EA">
        <w:rPr>
          <w:bCs/>
          <w:iCs/>
        </w:rPr>
        <w:t>Packard Road Warehouse Receiving</w:t>
      </w:r>
    </w:p>
    <w:p w14:paraId="6BBA4C5F" w14:textId="77777777" w:rsidR="00746C11" w:rsidRPr="00B211EA" w:rsidRDefault="00746C11" w:rsidP="00746C11">
      <w:pPr>
        <w:pStyle w:val="ListParagraph"/>
        <w:spacing w:after="0"/>
        <w:ind w:left="2880" w:firstLine="720"/>
        <w:rPr>
          <w:bCs/>
          <w:iCs/>
        </w:rPr>
      </w:pPr>
      <w:r w:rsidRPr="00B211EA">
        <w:rPr>
          <w:bCs/>
          <w:iCs/>
        </w:rPr>
        <w:t>6000 Packard Rd. Suite 100</w:t>
      </w:r>
    </w:p>
    <w:p w14:paraId="6510CA7A" w14:textId="77777777" w:rsidR="00746C11" w:rsidRPr="00B211EA" w:rsidRDefault="00746C11" w:rsidP="00746C11">
      <w:pPr>
        <w:pStyle w:val="ListParagraph"/>
        <w:spacing w:after="0"/>
        <w:ind w:left="2880" w:firstLine="720"/>
        <w:rPr>
          <w:bCs/>
          <w:iCs/>
        </w:rPr>
      </w:pPr>
      <w:r w:rsidRPr="00B211EA">
        <w:rPr>
          <w:bCs/>
          <w:iCs/>
        </w:rPr>
        <w:t>Niagara Falls, NY 14303</w:t>
      </w:r>
    </w:p>
    <w:bookmarkEnd w:id="5"/>
    <w:p w14:paraId="725333D3" w14:textId="408FD4D0" w:rsidR="003401B6" w:rsidRPr="003401B6" w:rsidRDefault="003401B6" w:rsidP="003401B6">
      <w:pPr>
        <w:ind w:left="360"/>
        <w:rPr>
          <w:rFonts w:cstheme="minorHAnsi"/>
          <w:b/>
          <w:color w:val="FF0000"/>
          <w:sz w:val="21"/>
          <w:szCs w:val="21"/>
        </w:rPr>
      </w:pPr>
    </w:p>
    <w:p w14:paraId="6496EA3B" w14:textId="3C52372A" w:rsidR="00E96538" w:rsidRDefault="00E96538" w:rsidP="00E96538">
      <w:pPr>
        <w:pStyle w:val="Heading1"/>
      </w:pPr>
      <w:bookmarkStart w:id="6" w:name="_Toc200097048"/>
      <w:bookmarkEnd w:id="4"/>
      <w:r>
        <w:lastRenderedPageBreak/>
        <w:t>RFP Administrative Information</w:t>
      </w:r>
      <w:bookmarkEnd w:id="6"/>
    </w:p>
    <w:p w14:paraId="0CA4C7A8" w14:textId="77777777" w:rsidR="00E96538" w:rsidRDefault="00E96538" w:rsidP="00E96538">
      <w:pPr>
        <w:pStyle w:val="Heading2"/>
      </w:pPr>
      <w:bookmarkStart w:id="7" w:name="_Toc200097049"/>
      <w:r>
        <w:t>Contact Information</w:t>
      </w:r>
      <w:bookmarkEnd w:id="7"/>
    </w:p>
    <w:p w14:paraId="288C32ED" w14:textId="4625D7BA" w:rsidR="00E96538" w:rsidRPr="00CC3D40" w:rsidRDefault="00E96538" w:rsidP="00E96538">
      <w:pPr>
        <w:ind w:left="1440"/>
        <w:jc w:val="both"/>
      </w:pPr>
      <w:r>
        <w:t>Please use the following name and email address for all correspondence with SGC concerning this RFP.</w:t>
      </w:r>
    </w:p>
    <w:p w14:paraId="258A7F19" w14:textId="277BCFEE" w:rsidR="00E96538" w:rsidRDefault="00DB61C3" w:rsidP="00E96538">
      <w:pPr>
        <w:ind w:left="720" w:firstLine="720"/>
      </w:pPr>
      <w:r>
        <w:rPr>
          <w:b/>
          <w:u w:val="single"/>
        </w:rPr>
        <w:t>Facilitator:</w:t>
      </w:r>
    </w:p>
    <w:p w14:paraId="4D3AA31F" w14:textId="7FDC4F6B" w:rsidR="00E96538" w:rsidRDefault="00DB61C3"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FB0BAC">
        <w:rPr>
          <w:sz w:val="24"/>
          <w:szCs w:val="24"/>
        </w:rPr>
        <w:t>Lisa Fittante</w:t>
      </w:r>
    </w:p>
    <w:p w14:paraId="5D90A936" w14:textId="1F5D5CFA"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FB0BAC">
        <w:rPr>
          <w:sz w:val="24"/>
          <w:szCs w:val="24"/>
        </w:rPr>
        <w:t>716-501-2345</w:t>
      </w:r>
    </w:p>
    <w:p w14:paraId="11B86B5D" w14:textId="302FFB93"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FB0BAC">
        <w:rPr>
          <w:sz w:val="24"/>
          <w:szCs w:val="24"/>
        </w:rPr>
        <w:t>lfittante@senecacasinos.com</w:t>
      </w:r>
    </w:p>
    <w:p w14:paraId="6AFB9417" w14:textId="77777777" w:rsidR="00E96538" w:rsidRDefault="00E96538" w:rsidP="00E96538">
      <w:pPr>
        <w:pStyle w:val="Heading2"/>
      </w:pPr>
      <w:bookmarkStart w:id="8" w:name="_Toc200097050"/>
      <w:r>
        <w:t>Schedule of Events</w:t>
      </w:r>
      <w:bookmarkEnd w:id="8"/>
    </w:p>
    <w:p w14:paraId="506D373B" w14:textId="18055B89"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FB0BAC">
        <w:rPr>
          <w:sz w:val="24"/>
          <w:szCs w:val="24"/>
        </w:rPr>
        <w:t>June 6, 2025</w:t>
      </w:r>
    </w:p>
    <w:p w14:paraId="08ECBC76" w14:textId="7BFC1E99"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FB0BAC">
        <w:rPr>
          <w:sz w:val="24"/>
          <w:szCs w:val="24"/>
        </w:rPr>
        <w:t xml:space="preserve">June </w:t>
      </w:r>
      <w:r w:rsidR="00746C11">
        <w:rPr>
          <w:sz w:val="24"/>
          <w:szCs w:val="24"/>
        </w:rPr>
        <w:t>9</w:t>
      </w:r>
      <w:r w:rsidR="00FB0BAC">
        <w:rPr>
          <w:sz w:val="24"/>
          <w:szCs w:val="24"/>
        </w:rPr>
        <w:t>, 2025</w:t>
      </w:r>
    </w:p>
    <w:p w14:paraId="7D06AF2A" w14:textId="060DEA2B"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B0BAC">
        <w:rPr>
          <w:b/>
          <w:sz w:val="24"/>
          <w:szCs w:val="24"/>
        </w:rPr>
        <w:t>6/13/25</w:t>
      </w:r>
      <w:r w:rsidRPr="00AB31A0">
        <w:rPr>
          <w:b/>
          <w:sz w:val="24"/>
          <w:szCs w:val="24"/>
        </w:rPr>
        <w:t xml:space="preserve"> by 5:00 PM Eastern Time</w:t>
      </w:r>
    </w:p>
    <w:p w14:paraId="047AD639" w14:textId="77777777" w:rsidR="00E96538" w:rsidRDefault="00E96538" w:rsidP="00E96538">
      <w:pPr>
        <w:pStyle w:val="Heading2"/>
        <w:rPr>
          <w:rFonts w:eastAsia="Times New Roman"/>
        </w:rPr>
      </w:pPr>
      <w:bookmarkStart w:id="9" w:name="_Toc200097051"/>
      <w:r>
        <w:rPr>
          <w:rFonts w:eastAsia="Times New Roman"/>
        </w:rPr>
        <w:t>Intent to Bid</w:t>
      </w:r>
      <w:bookmarkEnd w:id="9"/>
    </w:p>
    <w:p w14:paraId="7778F4D6" w14:textId="17B416BA" w:rsidR="00E96538" w:rsidRDefault="00E96538" w:rsidP="00E96538">
      <w:pPr>
        <w:ind w:left="1440"/>
        <w:jc w:val="both"/>
      </w:pPr>
      <w:r>
        <w:t xml:space="preserve">Potential Bidders must submit an email confirming their intent to bid to the </w:t>
      </w:r>
      <w:r w:rsidR="00AE4B06">
        <w:t xml:space="preserve">Facilitator by </w:t>
      </w:r>
      <w:r>
        <w:t>the date and time indicated in the above schedule of events.</w:t>
      </w:r>
    </w:p>
    <w:p w14:paraId="7655B56B"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C3D40" w:rsidRDefault="00E96538" w:rsidP="00E96538">
      <w:pPr>
        <w:pStyle w:val="Heading2"/>
        <w:rPr>
          <w:rFonts w:eastAsia="Times New Roman"/>
        </w:rPr>
      </w:pPr>
      <w:bookmarkStart w:id="10" w:name="_Toc200097052"/>
      <w:r>
        <w:rPr>
          <w:rFonts w:eastAsia="Times New Roman"/>
        </w:rPr>
        <w:t xml:space="preserve">Bidder </w:t>
      </w:r>
      <w:r w:rsidRPr="00CC3D40">
        <w:rPr>
          <w:rFonts w:eastAsia="Times New Roman"/>
        </w:rPr>
        <w:t>Questions</w:t>
      </w:r>
      <w:bookmarkEnd w:id="10"/>
    </w:p>
    <w:p w14:paraId="7C152CB8" w14:textId="484D53A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E4B06">
        <w:rPr>
          <w:rFonts w:eastAsia="Times New Roman" w:cstheme="minorHAnsi"/>
        </w:rPr>
        <w:t>Facilitato</w:t>
      </w:r>
      <w:r w:rsidR="00AE4B06" w:rsidRPr="00371E1A">
        <w:rPr>
          <w:rFonts w:eastAsia="Times New Roman" w:cstheme="minorHAnsi"/>
        </w:rPr>
        <w:t>r’s</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36187C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5FA2BDB9" w14:textId="77777777" w:rsidR="00456E00" w:rsidRPr="00CC3D40" w:rsidRDefault="00456E00" w:rsidP="00456E00">
      <w:pPr>
        <w:pStyle w:val="Heading2"/>
        <w:rPr>
          <w:rFonts w:eastAsia="Times New Roman"/>
        </w:rPr>
      </w:pPr>
      <w:bookmarkStart w:id="11" w:name="_Toc17728971"/>
      <w:bookmarkStart w:id="12" w:name="_Toc200097053"/>
      <w:r w:rsidRPr="00CC3D40">
        <w:rPr>
          <w:rFonts w:eastAsia="Times New Roman"/>
        </w:rPr>
        <w:t>Submission of Proposals</w:t>
      </w:r>
      <w:bookmarkEnd w:id="11"/>
      <w:bookmarkEnd w:id="12"/>
    </w:p>
    <w:p w14:paraId="015559A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425CD6F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5774376" w14:textId="32ACA1EF" w:rsidR="00834241" w:rsidRDefault="00834241" w:rsidP="00834241">
      <w:pPr>
        <w:pStyle w:val="Heading2"/>
        <w:rPr>
          <w:rFonts w:eastAsia="Times New Roman"/>
        </w:rPr>
      </w:pPr>
      <w:bookmarkStart w:id="13" w:name="_Toc17728972"/>
      <w:bookmarkStart w:id="14" w:name="_Toc200097054"/>
      <w:r w:rsidRPr="00EE18DD">
        <w:rPr>
          <w:rFonts w:eastAsia="Times New Roman"/>
        </w:rPr>
        <w:lastRenderedPageBreak/>
        <w:t>Proposal Format</w:t>
      </w:r>
      <w:bookmarkEnd w:id="13"/>
      <w:bookmarkEnd w:id="14"/>
    </w:p>
    <w:p w14:paraId="1F03FDA8" w14:textId="77777777" w:rsidR="00F43ED8" w:rsidRDefault="00F43ED8" w:rsidP="00F43ED8">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4460EE3E" w14:textId="3694C785" w:rsidR="00F43ED8" w:rsidRPr="00143363" w:rsidRDefault="00143363" w:rsidP="00FB0BAC">
      <w:pPr>
        <w:ind w:left="1440"/>
        <w:rPr>
          <w:rFonts w:eastAsia="Times New Roman" w:cstheme="minorHAnsi"/>
        </w:rPr>
      </w:pPr>
      <w:r w:rsidRPr="00F43ED8">
        <w:rPr>
          <w:rFonts w:eastAsia="Times New Roman" w:cstheme="minorHAnsi"/>
        </w:rPr>
        <w:t>In addition, the following documents must be sent with your RFP response:</w:t>
      </w:r>
    </w:p>
    <w:p w14:paraId="21423F4E" w14:textId="57318654" w:rsidR="00143363" w:rsidRPr="00313EAB" w:rsidRDefault="00143363" w:rsidP="00143363">
      <w:pPr>
        <w:spacing w:after="120"/>
        <w:ind w:left="720" w:firstLine="720"/>
        <w:rPr>
          <w:b/>
        </w:rPr>
      </w:pPr>
      <w:r>
        <w:rPr>
          <w:b/>
        </w:rPr>
        <w:t>Part-1</w:t>
      </w:r>
      <w:r>
        <w:rPr>
          <w:b/>
        </w:rPr>
        <w:tab/>
      </w:r>
      <w:r w:rsidRPr="00313EAB">
        <w:rPr>
          <w:b/>
        </w:rPr>
        <w:t>Bidder Representations and Certifications</w:t>
      </w:r>
    </w:p>
    <w:p w14:paraId="058365B0" w14:textId="77777777" w:rsidR="00143363" w:rsidRDefault="00143363" w:rsidP="00143363">
      <w:pPr>
        <w:ind w:left="1440"/>
        <w:jc w:val="both"/>
      </w:pPr>
      <w:r>
        <w:t xml:space="preserve">A corporate officer or person who is authorized to represent Bidder must complete, sign and date the Bidder Certifications and Representations, Section VII of the RFP. </w:t>
      </w:r>
    </w:p>
    <w:p w14:paraId="1CE0B5F4" w14:textId="38D6E598" w:rsidR="00143363" w:rsidRPr="00313EAB" w:rsidRDefault="00143363" w:rsidP="00143363">
      <w:pPr>
        <w:ind w:left="720" w:firstLine="720"/>
        <w:rPr>
          <w:b/>
        </w:rPr>
      </w:pPr>
      <w:r w:rsidRPr="00313EAB">
        <w:rPr>
          <w:b/>
        </w:rPr>
        <w:t>Pa</w:t>
      </w:r>
      <w:r>
        <w:rPr>
          <w:b/>
        </w:rPr>
        <w:t>rt-2</w:t>
      </w:r>
      <w:r w:rsidRPr="00313EAB">
        <w:rPr>
          <w:b/>
        </w:rPr>
        <w:tab/>
        <w:t>Appendix</w:t>
      </w:r>
    </w:p>
    <w:p w14:paraId="73B12123" w14:textId="77777777" w:rsidR="00143363" w:rsidRPr="00FB7F88" w:rsidRDefault="00143363" w:rsidP="00143363">
      <w:pPr>
        <w:spacing w:after="120"/>
        <w:ind w:left="720" w:firstLine="720"/>
        <w:rPr>
          <w:u w:val="single"/>
        </w:rPr>
      </w:pPr>
      <w:r w:rsidRPr="00FB7F88">
        <w:rPr>
          <w:u w:val="single"/>
        </w:rPr>
        <w:t>Appendix-A: Evidence of Insurance</w:t>
      </w:r>
    </w:p>
    <w:p w14:paraId="6D513133" w14:textId="77777777" w:rsidR="00143363" w:rsidRPr="00281D20" w:rsidRDefault="00143363" w:rsidP="00143363">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Default="00143363" w:rsidP="00143363">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11476" w:rsidRDefault="00143363" w:rsidP="00143363">
      <w:pPr>
        <w:ind w:left="1440"/>
        <w:jc w:val="both"/>
        <w:rPr>
          <w:b/>
          <w:bCs/>
        </w:rPr>
      </w:pPr>
      <w:r w:rsidRPr="00911476">
        <w:rPr>
          <w:b/>
          <w:bCs/>
        </w:rPr>
        <w:t>Additional Insured language:</w:t>
      </w:r>
    </w:p>
    <w:p w14:paraId="7EA61210" w14:textId="77777777" w:rsidR="00143363" w:rsidRDefault="00143363" w:rsidP="00143363">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Default="00143363" w:rsidP="00143363">
      <w:pPr>
        <w:ind w:left="1440"/>
        <w:jc w:val="both"/>
      </w:pPr>
      <w:r>
        <w:t>Seneca Gaming Corporation to be named as Certificate Holder:</w:t>
      </w:r>
    </w:p>
    <w:p w14:paraId="3077F239" w14:textId="77777777" w:rsidR="00143363" w:rsidRDefault="00143363" w:rsidP="00143363">
      <w:pPr>
        <w:ind w:left="1440"/>
        <w:jc w:val="both"/>
      </w:pPr>
      <w:r>
        <w:t>Seneca Gaming Corporation</w:t>
      </w:r>
    </w:p>
    <w:p w14:paraId="0494335A" w14:textId="77777777" w:rsidR="00143363" w:rsidRDefault="00143363" w:rsidP="00143363">
      <w:pPr>
        <w:ind w:left="1440"/>
        <w:jc w:val="both"/>
      </w:pPr>
      <w:r>
        <w:t>310 Fourth Street</w:t>
      </w:r>
    </w:p>
    <w:p w14:paraId="4482B17A" w14:textId="77777777" w:rsidR="00143363" w:rsidRDefault="00143363" w:rsidP="00143363">
      <w:pPr>
        <w:ind w:left="1440"/>
        <w:jc w:val="both"/>
      </w:pPr>
      <w:r>
        <w:t>Niagara Falls, NY 14303</w:t>
      </w:r>
    </w:p>
    <w:p w14:paraId="64DF6E7C" w14:textId="77777777" w:rsidR="00143363" w:rsidRDefault="00143363" w:rsidP="00143363">
      <w:pPr>
        <w:ind w:left="1440"/>
        <w:jc w:val="both"/>
      </w:pPr>
      <w:r>
        <w:t>Certificates evidencing such coverage shall be provided prior to commencement of work and renewal certificates shall be provided upon availability.</w:t>
      </w:r>
    </w:p>
    <w:p w14:paraId="6A9E6ABA" w14:textId="77777777" w:rsidR="00143363" w:rsidRDefault="00143363" w:rsidP="00143363">
      <w:pPr>
        <w:ind w:left="1440"/>
        <w:jc w:val="both"/>
      </w:pPr>
      <w:r>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23713C" w:rsidRDefault="00143363" w:rsidP="00143363">
      <w:pPr>
        <w:ind w:left="1440"/>
      </w:pPr>
      <w:r>
        <w:t xml:space="preserve">For additional details, see section 22 of SGC’s Standard Terms &amp; Conditions at </w:t>
      </w:r>
      <w:hyperlink r:id="rId11" w:history="1">
        <w:r w:rsidRPr="0023713C">
          <w:rPr>
            <w:rStyle w:val="Hyperlink"/>
          </w:rPr>
          <w:t>https://senecacasinos.com/media/zqdd2j1f/sgc-standard-terms-and-conditions-v-10-30-20.pdf</w:t>
        </w:r>
      </w:hyperlink>
    </w:p>
    <w:p w14:paraId="4A7E9D93" w14:textId="77777777" w:rsidR="00143363" w:rsidRPr="00FB7F88" w:rsidRDefault="00143363" w:rsidP="00143363">
      <w:pPr>
        <w:spacing w:after="120"/>
        <w:ind w:left="720" w:firstLine="720"/>
        <w:rPr>
          <w:u w:val="single"/>
        </w:rPr>
      </w:pPr>
      <w:r w:rsidRPr="00FB7F88">
        <w:rPr>
          <w:u w:val="single"/>
        </w:rPr>
        <w:t>Appendix-B:  Standard Agreements</w:t>
      </w:r>
    </w:p>
    <w:p w14:paraId="766FFBD9" w14:textId="77777777" w:rsidR="00143363" w:rsidRPr="00294673" w:rsidRDefault="00143363" w:rsidP="00143363">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23A4C877" w14:textId="77777777" w:rsidR="00911476" w:rsidRDefault="00911476" w:rsidP="00911476">
      <w:pPr>
        <w:pStyle w:val="Heading2"/>
        <w:rPr>
          <w:rFonts w:eastAsia="Times New Roman"/>
        </w:rPr>
      </w:pPr>
      <w:bookmarkStart w:id="15" w:name="_Toc186803474"/>
      <w:bookmarkStart w:id="16" w:name="_Toc200097055"/>
      <w:r>
        <w:rPr>
          <w:rFonts w:eastAsia="Times New Roman"/>
        </w:rPr>
        <w:t>Conditions</w:t>
      </w:r>
      <w:bookmarkEnd w:id="15"/>
      <w:bookmarkEnd w:id="16"/>
    </w:p>
    <w:p w14:paraId="03AB3761" w14:textId="77777777" w:rsidR="00911476" w:rsidRPr="0007296D" w:rsidRDefault="00911476" w:rsidP="00911476">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14:paraId="5A7835EA" w14:textId="77777777" w:rsidR="00911476" w:rsidRDefault="00911476" w:rsidP="00911476">
      <w:r>
        <w:tab/>
      </w:r>
      <w:r>
        <w:tab/>
        <w:t>By participating in this RFP:</w:t>
      </w:r>
    </w:p>
    <w:p w14:paraId="50B93C41" w14:textId="77777777" w:rsidR="00911476" w:rsidRDefault="00911476" w:rsidP="00911476">
      <w:pPr>
        <w:pStyle w:val="ListParagraph"/>
        <w:numPr>
          <w:ilvl w:val="0"/>
          <w:numId w:val="9"/>
        </w:numPr>
      </w:pPr>
      <w:r>
        <w:t xml:space="preserve">Bidder agrees that you will not directly contact any SGC employee without prior written approval from SGC.  Failure to do so may revoke your invitation to participate in this RFP. </w:t>
      </w:r>
    </w:p>
    <w:p w14:paraId="6D49792E" w14:textId="77777777" w:rsidR="00911476" w:rsidRDefault="00911476" w:rsidP="00911476">
      <w:pPr>
        <w:pStyle w:val="ListParagraph"/>
        <w:numPr>
          <w:ilvl w:val="0"/>
          <w:numId w:val="9"/>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7777777" w:rsidR="00911476" w:rsidRDefault="00911476" w:rsidP="00911476">
      <w:r>
        <w:tab/>
      </w:r>
      <w:r>
        <w:tab/>
        <w:t xml:space="preserve">Bidder agrees that all information provided in their RFP response is valid for a </w:t>
      </w:r>
      <w:r>
        <w:tab/>
      </w:r>
      <w:r>
        <w:tab/>
      </w:r>
      <w:r>
        <w:tab/>
      </w:r>
      <w:r>
        <w:tab/>
        <w:t>minimum of 90 days from the response date.</w:t>
      </w:r>
    </w:p>
    <w:p w14:paraId="36303B3F" w14:textId="77777777" w:rsidR="00911476" w:rsidRDefault="00911476" w:rsidP="00911476">
      <w:r>
        <w:tab/>
      </w:r>
      <w:r>
        <w:tab/>
        <w:t xml:space="preserve">All costs incurred by the bidder for participating in this evaluation will be the </w:t>
      </w:r>
      <w:r>
        <w:tab/>
      </w:r>
      <w:r>
        <w:tab/>
      </w:r>
      <w:r>
        <w:tab/>
      </w:r>
      <w:r>
        <w:tab/>
        <w:t>responsibility of the bidder.  SGC will not reimburse any bidder costs or expenses.</w:t>
      </w:r>
    </w:p>
    <w:p w14:paraId="2719D125" w14:textId="21BD8CD3" w:rsidR="00911476" w:rsidRPr="00911476" w:rsidRDefault="00911476" w:rsidP="00911476">
      <w:r>
        <w:tab/>
      </w:r>
      <w:r>
        <w:tab/>
        <w:t>All responses to the RFP become the property of SGC.</w:t>
      </w:r>
    </w:p>
    <w:p w14:paraId="6956EF26" w14:textId="3BE2AA2D" w:rsidR="00E96538" w:rsidRPr="00325DC1" w:rsidRDefault="00E96538" w:rsidP="00E96538">
      <w:pPr>
        <w:pStyle w:val="Heading2"/>
        <w:rPr>
          <w:rFonts w:eastAsia="Times New Roman"/>
        </w:rPr>
      </w:pPr>
      <w:bookmarkStart w:id="17" w:name="_Toc200097056"/>
      <w:r w:rsidRPr="00325DC1">
        <w:rPr>
          <w:rFonts w:eastAsia="Times New Roman"/>
        </w:rPr>
        <w:t>Propo</w:t>
      </w:r>
      <w:r>
        <w:rPr>
          <w:rFonts w:eastAsia="Times New Roman"/>
        </w:rPr>
        <w:t>sal Evaluation/Vendor Selection</w:t>
      </w:r>
      <w:bookmarkEnd w:id="17"/>
    </w:p>
    <w:p w14:paraId="4721645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w:t>
      </w:r>
      <w:r w:rsidRPr="00294673">
        <w:lastRenderedPageBreak/>
        <w:t xml:space="preserve">It is only following all of these actions that the successful Bidder will be considered a Vendor of SGC. </w:t>
      </w:r>
    </w:p>
    <w:p w14:paraId="64EA1D1D"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Default="00E96538" w:rsidP="00E96538">
      <w:pPr>
        <w:pStyle w:val="Heading2"/>
        <w:rPr>
          <w:rFonts w:eastAsia="Times New Roman"/>
        </w:rPr>
      </w:pPr>
      <w:bookmarkStart w:id="18" w:name="_Toc200097057"/>
      <w:r>
        <w:rPr>
          <w:rFonts w:eastAsia="Times New Roman"/>
        </w:rPr>
        <w:t>General Bidder Information</w:t>
      </w:r>
      <w:bookmarkEnd w:id="18"/>
    </w:p>
    <w:p w14:paraId="3686E67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39CA5"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409322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6FF2E2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61C9F" w:rsidRDefault="00E96538" w:rsidP="00E96538">
      <w:pPr>
        <w:pStyle w:val="Heading2"/>
        <w:rPr>
          <w:rFonts w:eastAsia="Times New Roman"/>
        </w:rPr>
      </w:pPr>
      <w:bookmarkStart w:id="19" w:name="_Toc200097058"/>
      <w:r w:rsidRPr="00961C9F">
        <w:rPr>
          <w:rFonts w:eastAsia="Times New Roman"/>
        </w:rPr>
        <w:lastRenderedPageBreak/>
        <w:t>SGC Standard Terms and Conditions</w:t>
      </w:r>
      <w:bookmarkEnd w:id="19"/>
    </w:p>
    <w:p w14:paraId="164FA3F2"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0851426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06D0179" w14:textId="6238502A" w:rsidR="00E96538" w:rsidRPr="00D059D0" w:rsidRDefault="00E96538" w:rsidP="00E96538">
      <w:pPr>
        <w:pStyle w:val="Heading1"/>
        <w:rPr>
          <w:rFonts w:eastAsia="Times New Roman"/>
        </w:rPr>
      </w:pPr>
      <w:bookmarkStart w:id="20" w:name="_Toc200097059"/>
      <w:r w:rsidRPr="00D059D0">
        <w:rPr>
          <w:rFonts w:eastAsia="Times New Roman"/>
        </w:rPr>
        <w:t>Provisions Applicable to the Contract</w:t>
      </w:r>
      <w:bookmarkEnd w:id="20"/>
      <w:r w:rsidR="009367F7">
        <w:rPr>
          <w:rFonts w:eastAsia="Times New Roman"/>
        </w:rPr>
        <w:t xml:space="preserve"> </w:t>
      </w:r>
    </w:p>
    <w:p w14:paraId="64D79E70" w14:textId="77777777" w:rsidR="00E96538" w:rsidRPr="00342236" w:rsidRDefault="00E96538" w:rsidP="00E96538">
      <w:pPr>
        <w:pStyle w:val="Heading2"/>
        <w:rPr>
          <w:rFonts w:eastAsia="Times New Roman"/>
        </w:rPr>
      </w:pPr>
      <w:bookmarkStart w:id="21" w:name="_Toc200097060"/>
      <w:r w:rsidRPr="00342236">
        <w:rPr>
          <w:rFonts w:eastAsia="Times New Roman"/>
        </w:rPr>
        <w:t>Pricing and Payment Terms</w:t>
      </w:r>
      <w:bookmarkEnd w:id="21"/>
    </w:p>
    <w:p w14:paraId="570AED54" w14:textId="3907B9E9" w:rsidR="00E96538" w:rsidRPr="00574363" w:rsidRDefault="00E96538" w:rsidP="00574363">
      <w:pPr>
        <w:ind w:left="720" w:firstLine="720"/>
      </w:pPr>
      <w:r w:rsidRPr="00961C9F">
        <w:t xml:space="preserve">Please provide your most competitive pricing and any additional offers. </w:t>
      </w:r>
    </w:p>
    <w:p w14:paraId="4D0E46D5" w14:textId="77777777" w:rsidR="00E96538" w:rsidRPr="00961C9F" w:rsidRDefault="00E96538" w:rsidP="00E96538">
      <w:pPr>
        <w:pStyle w:val="Heading2"/>
        <w:rPr>
          <w:rFonts w:eastAsia="Times New Roman"/>
        </w:rPr>
      </w:pPr>
      <w:bookmarkStart w:id="22" w:name="_Toc200097061"/>
      <w:r w:rsidRPr="00961C9F">
        <w:rPr>
          <w:rFonts w:eastAsia="Times New Roman"/>
        </w:rPr>
        <w:t>Tax Exempt Status</w:t>
      </w:r>
      <w:bookmarkEnd w:id="22"/>
      <w:r w:rsidRPr="00961C9F">
        <w:rPr>
          <w:rFonts w:eastAsia="Times New Roman"/>
        </w:rPr>
        <w:t xml:space="preserve">  </w:t>
      </w:r>
    </w:p>
    <w:p w14:paraId="37C03BC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4C16E45" w14:textId="77777777" w:rsidR="00E96538" w:rsidRPr="00961C9F" w:rsidRDefault="00E96538" w:rsidP="00E96538">
      <w:pPr>
        <w:pStyle w:val="Heading2"/>
        <w:rPr>
          <w:rFonts w:eastAsia="Times New Roman"/>
        </w:rPr>
      </w:pPr>
      <w:bookmarkStart w:id="23" w:name="_Toc200097062"/>
      <w:r w:rsidRPr="00961C9F">
        <w:rPr>
          <w:rFonts w:eastAsia="Times New Roman"/>
        </w:rPr>
        <w:t>Payment Terms</w:t>
      </w:r>
      <w:bookmarkEnd w:id="23"/>
      <w:r w:rsidRPr="00961C9F">
        <w:rPr>
          <w:rFonts w:eastAsia="Times New Roman"/>
        </w:rPr>
        <w:t xml:space="preserve"> </w:t>
      </w:r>
    </w:p>
    <w:p w14:paraId="6BB0436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B3F3F" w:rsidRDefault="00E96538" w:rsidP="00E96538">
      <w:pPr>
        <w:pStyle w:val="Heading1"/>
        <w:rPr>
          <w:rFonts w:eastAsia="Times New Roman"/>
        </w:rPr>
      </w:pPr>
      <w:bookmarkStart w:id="24" w:name="_Toc200097063"/>
      <w:r>
        <w:rPr>
          <w:rFonts w:eastAsia="Times New Roman"/>
        </w:rPr>
        <w:t>Supplemental Bidder Information</w:t>
      </w:r>
      <w:bookmarkEnd w:id="24"/>
    </w:p>
    <w:p w14:paraId="2F17EE1B" w14:textId="77777777" w:rsidR="00E96538" w:rsidRPr="00961C9F" w:rsidRDefault="00E96538" w:rsidP="00E96538">
      <w:pPr>
        <w:pStyle w:val="Heading2"/>
        <w:rPr>
          <w:rFonts w:eastAsia="Times New Roman"/>
        </w:rPr>
      </w:pPr>
      <w:bookmarkStart w:id="25" w:name="_Toc200097064"/>
      <w:r w:rsidRPr="00961C9F">
        <w:rPr>
          <w:rFonts w:eastAsia="Times New Roman"/>
        </w:rPr>
        <w:t>Conformity of Proposal with SGC Requirements</w:t>
      </w:r>
      <w:bookmarkEnd w:id="25"/>
    </w:p>
    <w:p w14:paraId="44164AA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263A3E56" w14:textId="77777777" w:rsidR="00E96538" w:rsidRPr="00961C9F" w:rsidRDefault="00E96538" w:rsidP="00E96538">
      <w:pPr>
        <w:pStyle w:val="Heading1"/>
        <w:rPr>
          <w:rFonts w:eastAsia="Times New Roman"/>
        </w:rPr>
      </w:pPr>
      <w:bookmarkStart w:id="26" w:name="_Toc200097065"/>
      <w:r w:rsidRPr="00961C9F">
        <w:rPr>
          <w:rFonts w:eastAsia="Times New Roman"/>
        </w:rPr>
        <w:t>Vendor Requirements</w:t>
      </w:r>
      <w:bookmarkEnd w:id="26"/>
    </w:p>
    <w:p w14:paraId="23762B08" w14:textId="77777777" w:rsidR="00E96538" w:rsidRPr="00961C9F" w:rsidRDefault="00E96538" w:rsidP="00E96538">
      <w:pPr>
        <w:pStyle w:val="Heading2"/>
        <w:rPr>
          <w:rFonts w:eastAsia="Times New Roman"/>
        </w:rPr>
      </w:pPr>
      <w:bookmarkStart w:id="27" w:name="_Toc200097066"/>
      <w:r w:rsidRPr="00961C9F">
        <w:rPr>
          <w:rFonts w:eastAsia="Times New Roman"/>
        </w:rPr>
        <w:t>Proposal</w:t>
      </w:r>
      <w:bookmarkEnd w:id="27"/>
      <w:r w:rsidRPr="00961C9F">
        <w:rPr>
          <w:rFonts w:eastAsia="Times New Roman"/>
        </w:rPr>
        <w:t xml:space="preserve"> </w:t>
      </w:r>
    </w:p>
    <w:p w14:paraId="075D97D1"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69616AEC" w14:textId="77777777" w:rsidR="00D72C9A" w:rsidRDefault="00D72C9A" w:rsidP="00D72C9A">
      <w:pPr>
        <w:pStyle w:val="Heading2"/>
        <w:rPr>
          <w:rFonts w:eastAsia="Times New Roman"/>
        </w:rPr>
      </w:pPr>
      <w:bookmarkStart w:id="28" w:name="_Toc200097067"/>
      <w:r>
        <w:rPr>
          <w:rFonts w:eastAsia="Times New Roman"/>
        </w:rPr>
        <w:t>Seneca Nation Business Registration Fee (SNIBRF)</w:t>
      </w:r>
      <w:bookmarkEnd w:id="28"/>
    </w:p>
    <w:p w14:paraId="594FD273" w14:textId="77777777" w:rsidR="00D72C9A" w:rsidRPr="008863CC" w:rsidRDefault="00D72C9A" w:rsidP="008863CC">
      <w:pPr>
        <w:rPr>
          <w:rFonts w:eastAsia="Times New Roman" w:cstheme="minorHAnsi"/>
          <w:color w:val="FF0000"/>
        </w:rPr>
      </w:pPr>
      <w:r>
        <w:tab/>
      </w:r>
      <w:r w:rsidR="006A7F0E">
        <w:tab/>
      </w:r>
      <w:r w:rsidRPr="00574363">
        <w:rPr>
          <w:rFonts w:eastAsia="Times New Roman" w:cstheme="minorHAnsi"/>
        </w:rPr>
        <w:t xml:space="preserve">Vendor must pay the SNIBRF of $750 directly to the Seneca Gaming Authority once total </w:t>
      </w:r>
      <w:r w:rsidRPr="00574363">
        <w:rPr>
          <w:rFonts w:eastAsia="Times New Roman" w:cstheme="minorHAnsi"/>
        </w:rPr>
        <w:tab/>
      </w:r>
      <w:r w:rsidRPr="00574363">
        <w:rPr>
          <w:rFonts w:eastAsia="Times New Roman" w:cstheme="minorHAnsi"/>
        </w:rPr>
        <w:tab/>
        <w:t xml:space="preserve">payment to the vendor exceeds $10,000.  Failure to pay the fee when required may </w:t>
      </w:r>
      <w:r w:rsidRPr="00574363">
        <w:rPr>
          <w:rFonts w:eastAsia="Times New Roman" w:cstheme="minorHAnsi"/>
        </w:rPr>
        <w:tab/>
      </w:r>
      <w:r w:rsidRPr="00574363">
        <w:rPr>
          <w:rFonts w:eastAsia="Times New Roman" w:cstheme="minorHAnsi"/>
        </w:rPr>
        <w:tab/>
      </w:r>
      <w:r w:rsidRPr="00574363">
        <w:rPr>
          <w:rFonts w:eastAsia="Times New Roman" w:cstheme="minorHAnsi"/>
        </w:rPr>
        <w:tab/>
        <w:t>result in termination of further business with Seneca Gaming Corporation.</w:t>
      </w:r>
    </w:p>
    <w:p w14:paraId="7A8C4336" w14:textId="77777777" w:rsidR="00E96538" w:rsidRDefault="00E96538" w:rsidP="00E96538">
      <w:pPr>
        <w:pStyle w:val="Heading1"/>
        <w:rPr>
          <w:rFonts w:eastAsia="Times New Roman"/>
        </w:rPr>
      </w:pPr>
      <w:bookmarkStart w:id="29" w:name="_Toc200097068"/>
      <w:r>
        <w:rPr>
          <w:rFonts w:eastAsia="Times New Roman"/>
        </w:rPr>
        <w:t xml:space="preserve">Bidder </w:t>
      </w:r>
      <w:r w:rsidRPr="0034489C">
        <w:rPr>
          <w:rFonts w:eastAsia="Times New Roman"/>
        </w:rPr>
        <w:t>Cert</w:t>
      </w:r>
      <w:r>
        <w:rPr>
          <w:rFonts w:eastAsia="Times New Roman"/>
        </w:rPr>
        <w:t>ifications and Representations</w:t>
      </w:r>
      <w:bookmarkEnd w:id="29"/>
    </w:p>
    <w:p w14:paraId="71FB7B1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lastRenderedPageBreak/>
        <w:t>Bidder is aware of, is fully informed about, and is in full compliance with all applicable federal, state and local laws, rules, regulations and ordinances.</w:t>
      </w:r>
    </w:p>
    <w:p w14:paraId="62DC4FC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C0CF8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F48DD1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19564A6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E71B1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AC2CC41"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228B3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E43A04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367F7B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697FFD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3F212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AF35F7"/>
    <w:multiLevelType w:val="hybridMultilevel"/>
    <w:tmpl w:val="1DC20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1E5F46"/>
    <w:multiLevelType w:val="hybridMultilevel"/>
    <w:tmpl w:val="6F720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567D40AF"/>
    <w:multiLevelType w:val="hybridMultilevel"/>
    <w:tmpl w:val="2C0E6B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A803F7"/>
    <w:multiLevelType w:val="hybridMultilevel"/>
    <w:tmpl w:val="848A11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7"/>
  </w:num>
  <w:num w:numId="6">
    <w:abstractNumId w:val="0"/>
  </w:num>
  <w:num w:numId="7">
    <w:abstractNumId w:val="9"/>
  </w:num>
  <w:num w:numId="8">
    <w:abstractNumId w:val="2"/>
  </w:num>
  <w:num w:numId="9">
    <w:abstractNumId w:val="3"/>
  </w:num>
  <w:num w:numId="10">
    <w:abstractNumId w:val="11"/>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43363"/>
    <w:rsid w:val="0014705A"/>
    <w:rsid w:val="0023713C"/>
    <w:rsid w:val="00237E51"/>
    <w:rsid w:val="003401B6"/>
    <w:rsid w:val="003E25F2"/>
    <w:rsid w:val="00417B01"/>
    <w:rsid w:val="00456E00"/>
    <w:rsid w:val="00457F12"/>
    <w:rsid w:val="00470E46"/>
    <w:rsid w:val="004D32F5"/>
    <w:rsid w:val="004F2163"/>
    <w:rsid w:val="00574363"/>
    <w:rsid w:val="006A381D"/>
    <w:rsid w:val="006A7F0E"/>
    <w:rsid w:val="00746C11"/>
    <w:rsid w:val="0077626A"/>
    <w:rsid w:val="007F794E"/>
    <w:rsid w:val="00806F87"/>
    <w:rsid w:val="00834241"/>
    <w:rsid w:val="008863CC"/>
    <w:rsid w:val="00911476"/>
    <w:rsid w:val="009367F7"/>
    <w:rsid w:val="00977F8D"/>
    <w:rsid w:val="009D2F2D"/>
    <w:rsid w:val="00A66CA8"/>
    <w:rsid w:val="00AE4B06"/>
    <w:rsid w:val="00B04250"/>
    <w:rsid w:val="00B211EA"/>
    <w:rsid w:val="00C60AFF"/>
    <w:rsid w:val="00D20F91"/>
    <w:rsid w:val="00D72C9A"/>
    <w:rsid w:val="00DB61C3"/>
    <w:rsid w:val="00E46A94"/>
    <w:rsid w:val="00E96538"/>
    <w:rsid w:val="00EE6F09"/>
    <w:rsid w:val="00EF3F50"/>
    <w:rsid w:val="00F43ED8"/>
    <w:rsid w:val="00F75F30"/>
    <w:rsid w:val="00FB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AC"/>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table" w:styleId="TableGrid">
    <w:name w:val="Table Grid"/>
    <w:basedOn w:val="TableNormal"/>
    <w:uiPriority w:val="39"/>
    <w:rsid w:val="0097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2</cp:revision>
  <dcterms:created xsi:type="dcterms:W3CDTF">2025-06-06T14:12:00Z</dcterms:created>
  <dcterms:modified xsi:type="dcterms:W3CDTF">2025-06-06T14:12:00Z</dcterms:modified>
</cp:coreProperties>
</file>