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812D52" w:rsidRPr="00D034EB" w:rsidRDefault="00812D5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12D52" w:rsidRPr="00F75BD1" w:rsidRDefault="00812D52"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812D52" w:rsidRPr="00D034EB" w:rsidRDefault="00812D5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12D52" w:rsidRPr="00F75BD1" w:rsidRDefault="00812D52"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488887</wp:posOffset>
                    </wp:positionH>
                    <wp:positionV relativeFrom="page">
                      <wp:posOffset>5640309</wp:posOffset>
                    </wp:positionV>
                    <wp:extent cx="7045960" cy="688063"/>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688063"/>
                            </a:xfrm>
                            <a:prstGeom prst="rect">
                              <a:avLst/>
                            </a:prstGeom>
                            <a:noFill/>
                            <a:ln w="6350">
                              <a:noFill/>
                            </a:ln>
                            <a:effectLst/>
                          </wps:spPr>
                          <wps:txbx>
                            <w:txbxContent>
                              <w:p w:rsidR="00812D52" w:rsidRPr="00E96538" w:rsidRDefault="00812D52" w:rsidP="00E96538">
                                <w:pPr>
                                  <w:pStyle w:val="NoSpacing"/>
                                  <w:jc w:val="right"/>
                                  <w:rPr>
                                    <w:color w:val="595959" w:themeColor="text1" w:themeTint="A6"/>
                                    <w:sz w:val="40"/>
                                    <w:szCs w:val="40"/>
                                  </w:rPr>
                                </w:pPr>
                                <w:r w:rsidRPr="00657DEE">
                                  <w:rPr>
                                    <w:color w:val="5B9BD5" w:themeColor="accent1"/>
                                    <w:sz w:val="40"/>
                                    <w:szCs w:val="40"/>
                                  </w:rPr>
                                  <w:t xml:space="preserve">Nonalcoholic Beverage Supply and Service </w:t>
                                </w:r>
                                <w:r w:rsidRPr="006B6B03">
                                  <w:rPr>
                                    <w:color w:val="5B9BD5" w:themeColor="accent1"/>
                                    <w:sz w:val="40"/>
                                    <w:szCs w:val="40"/>
                                  </w:rPr>
                                  <w:t>RFP #SGC-0024-21MC</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1pt;width:554.8pt;height:5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" filled="f" stroked="f" strokeweight=".5pt">
                    <v:textbox inset="126pt,0,54pt,0">
                      <w:txbxContent>
                        <w:p w:rsidR="00812D52" w:rsidRPr="00E96538" w:rsidRDefault="00812D52" w:rsidP="00E96538">
                          <w:pPr>
                            <w:pStyle w:val="NoSpacing"/>
                            <w:jc w:val="right"/>
                            <w:rPr>
                              <w:color w:val="595959" w:themeColor="text1" w:themeTint="A6"/>
                              <w:sz w:val="40"/>
                              <w:szCs w:val="40"/>
                            </w:rPr>
                          </w:pPr>
                          <w:r w:rsidRPr="00657DEE">
                            <w:rPr>
                              <w:color w:val="5B9BD5" w:themeColor="accent1"/>
                              <w:sz w:val="40"/>
                              <w:szCs w:val="40"/>
                            </w:rPr>
                            <w:t xml:space="preserve">Nonalcoholic Beverage Supply and Service </w:t>
                          </w:r>
                          <w:r w:rsidRPr="006B6B03">
                            <w:rPr>
                              <w:color w:val="5B9BD5" w:themeColor="accent1"/>
                              <w:sz w:val="40"/>
                              <w:szCs w:val="40"/>
                            </w:rPr>
                            <w:t>RFP #SGC-0024-21MC</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812D52" w:rsidRPr="003E48CF" w:rsidRDefault="00812D52"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812D52" w:rsidRPr="003E48CF" w:rsidRDefault="00812D52"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812D52" w:rsidRPr="003E48CF" w:rsidRDefault="002D7D6A" w:rsidP="00E96538">
                                <w:pPr>
                                  <w:pStyle w:val="NoSpacing"/>
                                  <w:jc w:val="right"/>
                                  <w:rPr>
                                    <w:color w:val="5B9BD5" w:themeColor="accent1"/>
                                    <w:sz w:val="24"/>
                                    <w:szCs w:val="24"/>
                                  </w:rPr>
                                </w:pPr>
                                <w:r>
                                  <w:rPr>
                                    <w:color w:val="5B9BD5" w:themeColor="accent1"/>
                                    <w:sz w:val="24"/>
                                    <w:szCs w:val="24"/>
                                  </w:rPr>
                                  <w:t>March 8</w:t>
                                </w:r>
                                <w:r w:rsidR="00812D52">
                                  <w:rPr>
                                    <w:color w:val="5B9BD5" w:themeColor="accent1"/>
                                    <w:sz w:val="24"/>
                                    <w:szCs w:val="24"/>
                                  </w:rPr>
                                  <w:t>, 2021</w:t>
                                </w:r>
                              </w:p>
                              <w:p w:rsidR="00812D52" w:rsidRDefault="00812D52"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812D52" w:rsidRPr="003E48CF" w:rsidRDefault="002D7D6A" w:rsidP="00E96538">
                          <w:pPr>
                            <w:pStyle w:val="NoSpacing"/>
                            <w:jc w:val="right"/>
                            <w:rPr>
                              <w:color w:val="5B9BD5" w:themeColor="accent1"/>
                              <w:sz w:val="24"/>
                              <w:szCs w:val="24"/>
                            </w:rPr>
                          </w:pPr>
                          <w:r>
                            <w:rPr>
                              <w:color w:val="5B9BD5" w:themeColor="accent1"/>
                              <w:sz w:val="24"/>
                              <w:szCs w:val="24"/>
                            </w:rPr>
                            <w:t>March 8</w:t>
                          </w:r>
                          <w:r w:rsidR="00812D52">
                            <w:rPr>
                              <w:color w:val="5B9BD5" w:themeColor="accent1"/>
                              <w:sz w:val="24"/>
                              <w:szCs w:val="24"/>
                            </w:rPr>
                            <w:t>, 2021</w:t>
                          </w:r>
                        </w:p>
                        <w:p w:rsidR="00812D52" w:rsidRDefault="00812D52"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D52" w:rsidRDefault="0007581E"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12D52">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12D52" w:rsidRDefault="00812D52"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812D52" w:rsidRDefault="00812D5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812D52" w:rsidRDefault="00812D52"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812D52"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5244819" w:history="1">
            <w:r w:rsidR="00812D52" w:rsidRPr="00DE60A6">
              <w:rPr>
                <w:rStyle w:val="Hyperlink"/>
                <w:noProof/>
              </w:rPr>
              <w:t>I.</w:t>
            </w:r>
            <w:r w:rsidR="00812D52">
              <w:rPr>
                <w:rFonts w:eastAsiaTheme="minorEastAsia"/>
                <w:noProof/>
              </w:rPr>
              <w:tab/>
            </w:r>
            <w:r w:rsidR="00812D52" w:rsidRPr="00DE60A6">
              <w:rPr>
                <w:rStyle w:val="Hyperlink"/>
                <w:noProof/>
              </w:rPr>
              <w:t>Introduction</w:t>
            </w:r>
            <w:r w:rsidR="00812D52">
              <w:rPr>
                <w:noProof/>
                <w:webHidden/>
              </w:rPr>
              <w:tab/>
            </w:r>
            <w:r w:rsidR="00812D52">
              <w:rPr>
                <w:noProof/>
                <w:webHidden/>
              </w:rPr>
              <w:fldChar w:fldCharType="begin"/>
            </w:r>
            <w:r w:rsidR="00812D52">
              <w:rPr>
                <w:noProof/>
                <w:webHidden/>
              </w:rPr>
              <w:instrText xml:space="preserve"> PAGEREF _Toc65244819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1"/>
            <w:tabs>
              <w:tab w:val="left" w:pos="440"/>
              <w:tab w:val="right" w:leader="dot" w:pos="9350"/>
            </w:tabs>
            <w:rPr>
              <w:rFonts w:eastAsiaTheme="minorEastAsia"/>
              <w:noProof/>
            </w:rPr>
          </w:pPr>
          <w:hyperlink w:anchor="_Toc65244820" w:history="1">
            <w:r w:rsidR="00812D52" w:rsidRPr="00DE60A6">
              <w:rPr>
                <w:rStyle w:val="Hyperlink"/>
                <w:noProof/>
              </w:rPr>
              <w:t>II.</w:t>
            </w:r>
            <w:r w:rsidR="00812D52">
              <w:rPr>
                <w:rFonts w:eastAsiaTheme="minorEastAsia"/>
                <w:noProof/>
              </w:rPr>
              <w:tab/>
            </w:r>
            <w:r w:rsidR="00812D52" w:rsidRPr="00DE60A6">
              <w:rPr>
                <w:rStyle w:val="Hyperlink"/>
                <w:noProof/>
              </w:rPr>
              <w:t>RFP Objective</w:t>
            </w:r>
            <w:r w:rsidR="00812D52">
              <w:rPr>
                <w:noProof/>
                <w:webHidden/>
              </w:rPr>
              <w:tab/>
            </w:r>
            <w:r w:rsidR="00812D52">
              <w:rPr>
                <w:noProof/>
                <w:webHidden/>
              </w:rPr>
              <w:fldChar w:fldCharType="begin"/>
            </w:r>
            <w:r w:rsidR="00812D52">
              <w:rPr>
                <w:noProof/>
                <w:webHidden/>
              </w:rPr>
              <w:instrText xml:space="preserve"> PAGEREF _Toc65244820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1"/>
            <w:tabs>
              <w:tab w:val="left" w:pos="660"/>
              <w:tab w:val="right" w:leader="dot" w:pos="9350"/>
            </w:tabs>
            <w:rPr>
              <w:rFonts w:eastAsiaTheme="minorEastAsia"/>
              <w:noProof/>
            </w:rPr>
          </w:pPr>
          <w:hyperlink w:anchor="_Toc65244821" w:history="1">
            <w:r w:rsidR="00812D52" w:rsidRPr="00DE60A6">
              <w:rPr>
                <w:rStyle w:val="Hyperlink"/>
                <w:noProof/>
              </w:rPr>
              <w:t>III.</w:t>
            </w:r>
            <w:r w:rsidR="00812D52">
              <w:rPr>
                <w:rFonts w:eastAsiaTheme="minorEastAsia"/>
                <w:noProof/>
              </w:rPr>
              <w:tab/>
            </w:r>
            <w:r w:rsidR="00812D52" w:rsidRPr="00DE60A6">
              <w:rPr>
                <w:rStyle w:val="Hyperlink"/>
                <w:noProof/>
              </w:rPr>
              <w:t>RFP Administrative Information</w:t>
            </w:r>
            <w:r w:rsidR="00812D52">
              <w:rPr>
                <w:noProof/>
                <w:webHidden/>
              </w:rPr>
              <w:tab/>
            </w:r>
            <w:r w:rsidR="00812D52">
              <w:rPr>
                <w:noProof/>
                <w:webHidden/>
              </w:rPr>
              <w:fldChar w:fldCharType="begin"/>
            </w:r>
            <w:r w:rsidR="00812D52">
              <w:rPr>
                <w:noProof/>
                <w:webHidden/>
              </w:rPr>
              <w:instrText xml:space="preserve"> PAGEREF _Toc65244821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2" w:history="1">
            <w:r w:rsidR="00812D52" w:rsidRPr="00DE60A6">
              <w:rPr>
                <w:rStyle w:val="Hyperlink"/>
                <w:noProof/>
              </w:rPr>
              <w:t>A.</w:t>
            </w:r>
            <w:r w:rsidR="00812D52">
              <w:rPr>
                <w:rFonts w:eastAsiaTheme="minorEastAsia"/>
                <w:noProof/>
              </w:rPr>
              <w:tab/>
            </w:r>
            <w:r w:rsidR="00812D52" w:rsidRPr="00DE60A6">
              <w:rPr>
                <w:rStyle w:val="Hyperlink"/>
                <w:noProof/>
              </w:rPr>
              <w:t>Contact Information</w:t>
            </w:r>
            <w:r w:rsidR="00812D52">
              <w:rPr>
                <w:noProof/>
                <w:webHidden/>
              </w:rPr>
              <w:tab/>
            </w:r>
            <w:r w:rsidR="00812D52">
              <w:rPr>
                <w:noProof/>
                <w:webHidden/>
              </w:rPr>
              <w:fldChar w:fldCharType="begin"/>
            </w:r>
            <w:r w:rsidR="00812D52">
              <w:rPr>
                <w:noProof/>
                <w:webHidden/>
              </w:rPr>
              <w:instrText xml:space="preserve"> PAGEREF _Toc65244822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3" w:history="1">
            <w:r w:rsidR="00812D52" w:rsidRPr="00DE60A6">
              <w:rPr>
                <w:rStyle w:val="Hyperlink"/>
                <w:noProof/>
              </w:rPr>
              <w:t>B.</w:t>
            </w:r>
            <w:r w:rsidR="00812D52">
              <w:rPr>
                <w:rFonts w:eastAsiaTheme="minorEastAsia"/>
                <w:noProof/>
              </w:rPr>
              <w:tab/>
            </w:r>
            <w:r w:rsidR="00812D52" w:rsidRPr="00DE60A6">
              <w:rPr>
                <w:rStyle w:val="Hyperlink"/>
                <w:noProof/>
              </w:rPr>
              <w:t>Schedule of Events</w:t>
            </w:r>
            <w:r w:rsidR="00812D52">
              <w:rPr>
                <w:noProof/>
                <w:webHidden/>
              </w:rPr>
              <w:tab/>
            </w:r>
            <w:r w:rsidR="00812D52">
              <w:rPr>
                <w:noProof/>
                <w:webHidden/>
              </w:rPr>
              <w:fldChar w:fldCharType="begin"/>
            </w:r>
            <w:r w:rsidR="00812D52">
              <w:rPr>
                <w:noProof/>
                <w:webHidden/>
              </w:rPr>
              <w:instrText xml:space="preserve"> PAGEREF _Toc65244823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4" w:history="1">
            <w:r w:rsidR="00812D52" w:rsidRPr="00DE60A6">
              <w:rPr>
                <w:rStyle w:val="Hyperlink"/>
                <w:rFonts w:eastAsia="Times New Roman"/>
                <w:noProof/>
              </w:rPr>
              <w:t>C.</w:t>
            </w:r>
            <w:r w:rsidR="00812D52">
              <w:rPr>
                <w:rFonts w:eastAsiaTheme="minorEastAsia"/>
                <w:noProof/>
              </w:rPr>
              <w:tab/>
            </w:r>
            <w:r w:rsidR="00812D52" w:rsidRPr="00DE60A6">
              <w:rPr>
                <w:rStyle w:val="Hyperlink"/>
                <w:rFonts w:eastAsia="Times New Roman"/>
                <w:noProof/>
              </w:rPr>
              <w:t>Intent to Bid</w:t>
            </w:r>
            <w:r w:rsidR="00812D52">
              <w:rPr>
                <w:noProof/>
                <w:webHidden/>
              </w:rPr>
              <w:tab/>
            </w:r>
            <w:r w:rsidR="00812D52">
              <w:rPr>
                <w:noProof/>
                <w:webHidden/>
              </w:rPr>
              <w:fldChar w:fldCharType="begin"/>
            </w:r>
            <w:r w:rsidR="00812D52">
              <w:rPr>
                <w:noProof/>
                <w:webHidden/>
              </w:rPr>
              <w:instrText xml:space="preserve"> PAGEREF _Toc65244824 \h </w:instrText>
            </w:r>
            <w:r w:rsidR="00812D52">
              <w:rPr>
                <w:noProof/>
                <w:webHidden/>
              </w:rPr>
            </w:r>
            <w:r w:rsidR="00812D52">
              <w:rPr>
                <w:noProof/>
                <w:webHidden/>
              </w:rPr>
              <w:fldChar w:fldCharType="separate"/>
            </w:r>
            <w:r w:rsidR="00812D52">
              <w:rPr>
                <w:noProof/>
                <w:webHidden/>
              </w:rPr>
              <w:t>2</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5" w:history="1">
            <w:r w:rsidR="00812D52" w:rsidRPr="00DE60A6">
              <w:rPr>
                <w:rStyle w:val="Hyperlink"/>
                <w:rFonts w:eastAsia="Times New Roman"/>
                <w:noProof/>
              </w:rPr>
              <w:t>D.</w:t>
            </w:r>
            <w:r w:rsidR="00812D52">
              <w:rPr>
                <w:rFonts w:eastAsiaTheme="minorEastAsia"/>
                <w:noProof/>
              </w:rPr>
              <w:tab/>
            </w:r>
            <w:r w:rsidR="00812D52" w:rsidRPr="00DE60A6">
              <w:rPr>
                <w:rStyle w:val="Hyperlink"/>
                <w:rFonts w:eastAsia="Times New Roman"/>
                <w:noProof/>
              </w:rPr>
              <w:t>Bidder Questions</w:t>
            </w:r>
            <w:r w:rsidR="00812D52">
              <w:rPr>
                <w:noProof/>
                <w:webHidden/>
              </w:rPr>
              <w:tab/>
            </w:r>
            <w:r w:rsidR="00812D52">
              <w:rPr>
                <w:noProof/>
                <w:webHidden/>
              </w:rPr>
              <w:fldChar w:fldCharType="begin"/>
            </w:r>
            <w:r w:rsidR="00812D52">
              <w:rPr>
                <w:noProof/>
                <w:webHidden/>
              </w:rPr>
              <w:instrText xml:space="preserve"> PAGEREF _Toc65244825 \h </w:instrText>
            </w:r>
            <w:r w:rsidR="00812D52">
              <w:rPr>
                <w:noProof/>
                <w:webHidden/>
              </w:rPr>
            </w:r>
            <w:r w:rsidR="00812D52">
              <w:rPr>
                <w:noProof/>
                <w:webHidden/>
              </w:rPr>
              <w:fldChar w:fldCharType="separate"/>
            </w:r>
            <w:r w:rsidR="00812D52">
              <w:rPr>
                <w:noProof/>
                <w:webHidden/>
              </w:rPr>
              <w:t>3</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6" w:history="1">
            <w:r w:rsidR="00812D52" w:rsidRPr="00DE60A6">
              <w:rPr>
                <w:rStyle w:val="Hyperlink"/>
                <w:rFonts w:eastAsia="Times New Roman"/>
                <w:noProof/>
              </w:rPr>
              <w:t>E.</w:t>
            </w:r>
            <w:r w:rsidR="00812D52">
              <w:rPr>
                <w:rFonts w:eastAsiaTheme="minorEastAsia"/>
                <w:noProof/>
              </w:rPr>
              <w:tab/>
            </w:r>
            <w:r w:rsidR="00812D52" w:rsidRPr="00DE60A6">
              <w:rPr>
                <w:rStyle w:val="Hyperlink"/>
                <w:rFonts w:eastAsia="Times New Roman"/>
                <w:noProof/>
              </w:rPr>
              <w:t>Submission of Proposals</w:t>
            </w:r>
            <w:r w:rsidR="00812D52">
              <w:rPr>
                <w:noProof/>
                <w:webHidden/>
              </w:rPr>
              <w:tab/>
            </w:r>
            <w:r w:rsidR="00812D52">
              <w:rPr>
                <w:noProof/>
                <w:webHidden/>
              </w:rPr>
              <w:fldChar w:fldCharType="begin"/>
            </w:r>
            <w:r w:rsidR="00812D52">
              <w:rPr>
                <w:noProof/>
                <w:webHidden/>
              </w:rPr>
              <w:instrText xml:space="preserve"> PAGEREF _Toc65244826 \h </w:instrText>
            </w:r>
            <w:r w:rsidR="00812D52">
              <w:rPr>
                <w:noProof/>
                <w:webHidden/>
              </w:rPr>
            </w:r>
            <w:r w:rsidR="00812D52">
              <w:rPr>
                <w:noProof/>
                <w:webHidden/>
              </w:rPr>
              <w:fldChar w:fldCharType="separate"/>
            </w:r>
            <w:r w:rsidR="00812D52">
              <w:rPr>
                <w:noProof/>
                <w:webHidden/>
              </w:rPr>
              <w:t>3</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7" w:history="1">
            <w:r w:rsidR="00812D52" w:rsidRPr="00DE60A6">
              <w:rPr>
                <w:rStyle w:val="Hyperlink"/>
                <w:rFonts w:eastAsia="Times New Roman"/>
                <w:noProof/>
              </w:rPr>
              <w:t>F.</w:t>
            </w:r>
            <w:r w:rsidR="00812D52">
              <w:rPr>
                <w:rFonts w:eastAsiaTheme="minorEastAsia"/>
                <w:noProof/>
              </w:rPr>
              <w:tab/>
            </w:r>
            <w:r w:rsidR="00812D52" w:rsidRPr="00DE60A6">
              <w:rPr>
                <w:rStyle w:val="Hyperlink"/>
                <w:rFonts w:eastAsia="Times New Roman"/>
                <w:noProof/>
              </w:rPr>
              <w:t>Proposal Format</w:t>
            </w:r>
            <w:r w:rsidR="00812D52">
              <w:rPr>
                <w:noProof/>
                <w:webHidden/>
              </w:rPr>
              <w:tab/>
            </w:r>
            <w:r w:rsidR="00812D52">
              <w:rPr>
                <w:noProof/>
                <w:webHidden/>
              </w:rPr>
              <w:fldChar w:fldCharType="begin"/>
            </w:r>
            <w:r w:rsidR="00812D52">
              <w:rPr>
                <w:noProof/>
                <w:webHidden/>
              </w:rPr>
              <w:instrText xml:space="preserve"> PAGEREF _Toc65244827 \h </w:instrText>
            </w:r>
            <w:r w:rsidR="00812D52">
              <w:rPr>
                <w:noProof/>
                <w:webHidden/>
              </w:rPr>
            </w:r>
            <w:r w:rsidR="00812D52">
              <w:rPr>
                <w:noProof/>
                <w:webHidden/>
              </w:rPr>
              <w:fldChar w:fldCharType="separate"/>
            </w:r>
            <w:r w:rsidR="00812D52">
              <w:rPr>
                <w:noProof/>
                <w:webHidden/>
              </w:rPr>
              <w:t>3</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8" w:history="1">
            <w:r w:rsidR="00812D52" w:rsidRPr="00DE60A6">
              <w:rPr>
                <w:rStyle w:val="Hyperlink"/>
                <w:rFonts w:eastAsia="Times New Roman"/>
                <w:noProof/>
              </w:rPr>
              <w:t>G.</w:t>
            </w:r>
            <w:r w:rsidR="00812D52">
              <w:rPr>
                <w:rFonts w:eastAsiaTheme="minorEastAsia"/>
                <w:noProof/>
              </w:rPr>
              <w:tab/>
            </w:r>
            <w:r w:rsidR="00812D52" w:rsidRPr="00DE60A6">
              <w:rPr>
                <w:rStyle w:val="Hyperlink"/>
                <w:rFonts w:eastAsia="Times New Roman"/>
                <w:noProof/>
              </w:rPr>
              <w:t>Proposal Evaluation/Vendor Selection</w:t>
            </w:r>
            <w:r w:rsidR="00812D52">
              <w:rPr>
                <w:noProof/>
                <w:webHidden/>
              </w:rPr>
              <w:tab/>
            </w:r>
            <w:r w:rsidR="00812D52">
              <w:rPr>
                <w:noProof/>
                <w:webHidden/>
              </w:rPr>
              <w:fldChar w:fldCharType="begin"/>
            </w:r>
            <w:r w:rsidR="00812D52">
              <w:rPr>
                <w:noProof/>
                <w:webHidden/>
              </w:rPr>
              <w:instrText xml:space="preserve"> PAGEREF _Toc65244828 \h </w:instrText>
            </w:r>
            <w:r w:rsidR="00812D52">
              <w:rPr>
                <w:noProof/>
                <w:webHidden/>
              </w:rPr>
            </w:r>
            <w:r w:rsidR="00812D52">
              <w:rPr>
                <w:noProof/>
                <w:webHidden/>
              </w:rPr>
              <w:fldChar w:fldCharType="separate"/>
            </w:r>
            <w:r w:rsidR="00812D52">
              <w:rPr>
                <w:noProof/>
                <w:webHidden/>
              </w:rPr>
              <w:t>5</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29" w:history="1">
            <w:r w:rsidR="00812D52" w:rsidRPr="00DE60A6">
              <w:rPr>
                <w:rStyle w:val="Hyperlink"/>
                <w:rFonts w:eastAsia="Times New Roman"/>
                <w:noProof/>
              </w:rPr>
              <w:t>H.</w:t>
            </w:r>
            <w:r w:rsidR="00812D52">
              <w:rPr>
                <w:rFonts w:eastAsiaTheme="minorEastAsia"/>
                <w:noProof/>
              </w:rPr>
              <w:tab/>
            </w:r>
            <w:r w:rsidR="00812D52" w:rsidRPr="00DE60A6">
              <w:rPr>
                <w:rStyle w:val="Hyperlink"/>
                <w:rFonts w:eastAsia="Times New Roman"/>
                <w:noProof/>
              </w:rPr>
              <w:t>General Bidder Information</w:t>
            </w:r>
            <w:r w:rsidR="00812D52">
              <w:rPr>
                <w:noProof/>
                <w:webHidden/>
              </w:rPr>
              <w:tab/>
            </w:r>
            <w:r w:rsidR="00812D52">
              <w:rPr>
                <w:noProof/>
                <w:webHidden/>
              </w:rPr>
              <w:fldChar w:fldCharType="begin"/>
            </w:r>
            <w:r w:rsidR="00812D52">
              <w:rPr>
                <w:noProof/>
                <w:webHidden/>
              </w:rPr>
              <w:instrText xml:space="preserve"> PAGEREF _Toc65244829 \h </w:instrText>
            </w:r>
            <w:r w:rsidR="00812D52">
              <w:rPr>
                <w:noProof/>
                <w:webHidden/>
              </w:rPr>
            </w:r>
            <w:r w:rsidR="00812D52">
              <w:rPr>
                <w:noProof/>
                <w:webHidden/>
              </w:rPr>
              <w:fldChar w:fldCharType="separate"/>
            </w:r>
            <w:r w:rsidR="00812D52">
              <w:rPr>
                <w:noProof/>
                <w:webHidden/>
              </w:rPr>
              <w:t>6</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0" w:history="1">
            <w:r w:rsidR="00812D52" w:rsidRPr="00DE60A6">
              <w:rPr>
                <w:rStyle w:val="Hyperlink"/>
                <w:rFonts w:eastAsia="Times New Roman"/>
                <w:noProof/>
              </w:rPr>
              <w:t>I.</w:t>
            </w:r>
            <w:r w:rsidR="00812D52">
              <w:rPr>
                <w:rFonts w:eastAsiaTheme="minorEastAsia"/>
                <w:noProof/>
              </w:rPr>
              <w:tab/>
            </w:r>
            <w:r w:rsidR="00812D52" w:rsidRPr="00DE60A6">
              <w:rPr>
                <w:rStyle w:val="Hyperlink"/>
                <w:rFonts w:eastAsia="Times New Roman"/>
                <w:noProof/>
              </w:rPr>
              <w:t>SGC Standard Terms and Conditions</w:t>
            </w:r>
            <w:r w:rsidR="00812D52">
              <w:rPr>
                <w:noProof/>
                <w:webHidden/>
              </w:rPr>
              <w:tab/>
            </w:r>
            <w:r w:rsidR="00812D52">
              <w:rPr>
                <w:noProof/>
                <w:webHidden/>
              </w:rPr>
              <w:fldChar w:fldCharType="begin"/>
            </w:r>
            <w:r w:rsidR="00812D52">
              <w:rPr>
                <w:noProof/>
                <w:webHidden/>
              </w:rPr>
              <w:instrText xml:space="preserve"> PAGEREF _Toc65244830 \h </w:instrText>
            </w:r>
            <w:r w:rsidR="00812D52">
              <w:rPr>
                <w:noProof/>
                <w:webHidden/>
              </w:rPr>
            </w:r>
            <w:r w:rsidR="00812D52">
              <w:rPr>
                <w:noProof/>
                <w:webHidden/>
              </w:rPr>
              <w:fldChar w:fldCharType="separate"/>
            </w:r>
            <w:r w:rsidR="00812D52">
              <w:rPr>
                <w:noProof/>
                <w:webHidden/>
              </w:rPr>
              <w:t>6</w:t>
            </w:r>
            <w:r w:rsidR="00812D52">
              <w:rPr>
                <w:noProof/>
                <w:webHidden/>
              </w:rPr>
              <w:fldChar w:fldCharType="end"/>
            </w:r>
          </w:hyperlink>
        </w:p>
        <w:p w:rsidR="00812D52" w:rsidRDefault="0007581E">
          <w:pPr>
            <w:pStyle w:val="TOC1"/>
            <w:tabs>
              <w:tab w:val="left" w:pos="660"/>
              <w:tab w:val="right" w:leader="dot" w:pos="9350"/>
            </w:tabs>
            <w:rPr>
              <w:rFonts w:eastAsiaTheme="minorEastAsia"/>
              <w:noProof/>
            </w:rPr>
          </w:pPr>
          <w:hyperlink w:anchor="_Toc65244831" w:history="1">
            <w:r w:rsidR="00812D52" w:rsidRPr="00DE60A6">
              <w:rPr>
                <w:rStyle w:val="Hyperlink"/>
                <w:rFonts w:eastAsia="Times New Roman"/>
                <w:noProof/>
              </w:rPr>
              <w:t>IV.</w:t>
            </w:r>
            <w:r w:rsidR="00812D52">
              <w:rPr>
                <w:rFonts w:eastAsiaTheme="minorEastAsia"/>
                <w:noProof/>
              </w:rPr>
              <w:tab/>
            </w:r>
            <w:r w:rsidR="00812D52" w:rsidRPr="00DE60A6">
              <w:rPr>
                <w:rStyle w:val="Hyperlink"/>
                <w:rFonts w:eastAsia="Times New Roman"/>
                <w:noProof/>
              </w:rPr>
              <w:t>Provisions Applicable to the Contract</w:t>
            </w:r>
            <w:r w:rsidR="00812D52">
              <w:rPr>
                <w:noProof/>
                <w:webHidden/>
              </w:rPr>
              <w:tab/>
            </w:r>
            <w:r w:rsidR="00812D52">
              <w:rPr>
                <w:noProof/>
                <w:webHidden/>
              </w:rPr>
              <w:fldChar w:fldCharType="begin"/>
            </w:r>
            <w:r w:rsidR="00812D52">
              <w:rPr>
                <w:noProof/>
                <w:webHidden/>
              </w:rPr>
              <w:instrText xml:space="preserve"> PAGEREF _Toc65244831 \h </w:instrText>
            </w:r>
            <w:r w:rsidR="00812D52">
              <w:rPr>
                <w:noProof/>
                <w:webHidden/>
              </w:rPr>
            </w:r>
            <w:r w:rsidR="00812D52">
              <w:rPr>
                <w:noProof/>
                <w:webHidden/>
              </w:rPr>
              <w:fldChar w:fldCharType="separate"/>
            </w:r>
            <w:r w:rsidR="00812D52">
              <w:rPr>
                <w:noProof/>
                <w:webHidden/>
              </w:rPr>
              <w:t>6</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2" w:history="1">
            <w:r w:rsidR="00812D52" w:rsidRPr="00DE60A6">
              <w:rPr>
                <w:rStyle w:val="Hyperlink"/>
                <w:rFonts w:eastAsia="Times New Roman"/>
                <w:noProof/>
              </w:rPr>
              <w:t>A.</w:t>
            </w:r>
            <w:r w:rsidR="00812D52">
              <w:rPr>
                <w:rFonts w:eastAsiaTheme="minorEastAsia"/>
                <w:noProof/>
              </w:rPr>
              <w:tab/>
            </w:r>
            <w:r w:rsidR="00812D52" w:rsidRPr="00DE60A6">
              <w:rPr>
                <w:rStyle w:val="Hyperlink"/>
                <w:rFonts w:eastAsia="Times New Roman"/>
                <w:noProof/>
              </w:rPr>
              <w:t>Agreement Term</w:t>
            </w:r>
            <w:r w:rsidR="00812D52">
              <w:rPr>
                <w:noProof/>
                <w:webHidden/>
              </w:rPr>
              <w:tab/>
            </w:r>
            <w:r w:rsidR="00812D52">
              <w:rPr>
                <w:noProof/>
                <w:webHidden/>
              </w:rPr>
              <w:fldChar w:fldCharType="begin"/>
            </w:r>
            <w:r w:rsidR="00812D52">
              <w:rPr>
                <w:noProof/>
                <w:webHidden/>
              </w:rPr>
              <w:instrText xml:space="preserve"> PAGEREF _Toc65244832 \h </w:instrText>
            </w:r>
            <w:r w:rsidR="00812D52">
              <w:rPr>
                <w:noProof/>
                <w:webHidden/>
              </w:rPr>
            </w:r>
            <w:r w:rsidR="00812D52">
              <w:rPr>
                <w:noProof/>
                <w:webHidden/>
              </w:rPr>
              <w:fldChar w:fldCharType="separate"/>
            </w:r>
            <w:r w:rsidR="00812D52">
              <w:rPr>
                <w:noProof/>
                <w:webHidden/>
              </w:rPr>
              <w:t>6</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3" w:history="1">
            <w:r w:rsidR="00812D52" w:rsidRPr="00DE60A6">
              <w:rPr>
                <w:rStyle w:val="Hyperlink"/>
                <w:noProof/>
              </w:rPr>
              <w:t>B.</w:t>
            </w:r>
            <w:r w:rsidR="00812D52">
              <w:rPr>
                <w:rFonts w:eastAsiaTheme="minorEastAsia"/>
                <w:noProof/>
              </w:rPr>
              <w:tab/>
            </w:r>
            <w:r w:rsidR="00812D52" w:rsidRPr="00DE60A6">
              <w:rPr>
                <w:rStyle w:val="Hyperlink"/>
                <w:noProof/>
              </w:rPr>
              <w:t>Requirements Specification</w:t>
            </w:r>
            <w:r w:rsidR="00812D52">
              <w:rPr>
                <w:noProof/>
                <w:webHidden/>
              </w:rPr>
              <w:tab/>
            </w:r>
            <w:r w:rsidR="00812D52">
              <w:rPr>
                <w:noProof/>
                <w:webHidden/>
              </w:rPr>
              <w:fldChar w:fldCharType="begin"/>
            </w:r>
            <w:r w:rsidR="00812D52">
              <w:rPr>
                <w:noProof/>
                <w:webHidden/>
              </w:rPr>
              <w:instrText xml:space="preserve"> PAGEREF _Toc65244833 \h </w:instrText>
            </w:r>
            <w:r w:rsidR="00812D52">
              <w:rPr>
                <w:noProof/>
                <w:webHidden/>
              </w:rPr>
            </w:r>
            <w:r w:rsidR="00812D52">
              <w:rPr>
                <w:noProof/>
                <w:webHidden/>
              </w:rPr>
              <w:fldChar w:fldCharType="separate"/>
            </w:r>
            <w:r w:rsidR="00812D52">
              <w:rPr>
                <w:noProof/>
                <w:webHidden/>
              </w:rPr>
              <w:t>7</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4" w:history="1">
            <w:r w:rsidR="00812D52" w:rsidRPr="00DE60A6">
              <w:rPr>
                <w:rStyle w:val="Hyperlink"/>
                <w:rFonts w:eastAsia="Times New Roman"/>
                <w:noProof/>
              </w:rPr>
              <w:t>C.</w:t>
            </w:r>
            <w:r w:rsidR="00812D52">
              <w:rPr>
                <w:rFonts w:eastAsiaTheme="minorEastAsia"/>
                <w:noProof/>
              </w:rPr>
              <w:tab/>
            </w:r>
            <w:r w:rsidR="00812D52" w:rsidRPr="00DE60A6">
              <w:rPr>
                <w:rStyle w:val="Hyperlink"/>
                <w:rFonts w:eastAsia="Times New Roman"/>
                <w:noProof/>
              </w:rPr>
              <w:t>Pricing and Payment Terms</w:t>
            </w:r>
            <w:r w:rsidR="00812D52">
              <w:rPr>
                <w:noProof/>
                <w:webHidden/>
              </w:rPr>
              <w:tab/>
            </w:r>
            <w:r w:rsidR="00812D52">
              <w:rPr>
                <w:noProof/>
                <w:webHidden/>
              </w:rPr>
              <w:fldChar w:fldCharType="begin"/>
            </w:r>
            <w:r w:rsidR="00812D52">
              <w:rPr>
                <w:noProof/>
                <w:webHidden/>
              </w:rPr>
              <w:instrText xml:space="preserve"> PAGEREF _Toc65244834 \h </w:instrText>
            </w:r>
            <w:r w:rsidR="00812D52">
              <w:rPr>
                <w:noProof/>
                <w:webHidden/>
              </w:rPr>
            </w:r>
            <w:r w:rsidR="00812D52">
              <w:rPr>
                <w:noProof/>
                <w:webHidden/>
              </w:rPr>
              <w:fldChar w:fldCharType="separate"/>
            </w:r>
            <w:r w:rsidR="00812D52">
              <w:rPr>
                <w:noProof/>
                <w:webHidden/>
              </w:rPr>
              <w:t>8</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5" w:history="1">
            <w:r w:rsidR="00812D52" w:rsidRPr="00DE60A6">
              <w:rPr>
                <w:rStyle w:val="Hyperlink"/>
                <w:noProof/>
              </w:rPr>
              <w:t>D.</w:t>
            </w:r>
            <w:r w:rsidR="00812D52">
              <w:rPr>
                <w:rFonts w:eastAsiaTheme="minorEastAsia"/>
                <w:noProof/>
              </w:rPr>
              <w:tab/>
            </w:r>
            <w:r w:rsidR="00812D52" w:rsidRPr="00DE60A6">
              <w:rPr>
                <w:rStyle w:val="Hyperlink"/>
                <w:noProof/>
              </w:rPr>
              <w:t>Price Escalation</w:t>
            </w:r>
            <w:r w:rsidR="00812D52">
              <w:rPr>
                <w:noProof/>
                <w:webHidden/>
              </w:rPr>
              <w:tab/>
            </w:r>
            <w:r w:rsidR="00812D52">
              <w:rPr>
                <w:noProof/>
                <w:webHidden/>
              </w:rPr>
              <w:fldChar w:fldCharType="begin"/>
            </w:r>
            <w:r w:rsidR="00812D52">
              <w:rPr>
                <w:noProof/>
                <w:webHidden/>
              </w:rPr>
              <w:instrText xml:space="preserve"> PAGEREF _Toc65244835 \h </w:instrText>
            </w:r>
            <w:r w:rsidR="00812D52">
              <w:rPr>
                <w:noProof/>
                <w:webHidden/>
              </w:rPr>
            </w:r>
            <w:r w:rsidR="00812D52">
              <w:rPr>
                <w:noProof/>
                <w:webHidden/>
              </w:rPr>
              <w:fldChar w:fldCharType="separate"/>
            </w:r>
            <w:r w:rsidR="00812D52">
              <w:rPr>
                <w:noProof/>
                <w:webHidden/>
              </w:rPr>
              <w:t>8</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6" w:history="1">
            <w:r w:rsidR="00812D52" w:rsidRPr="00DE60A6">
              <w:rPr>
                <w:rStyle w:val="Hyperlink"/>
                <w:noProof/>
              </w:rPr>
              <w:t>E.</w:t>
            </w:r>
            <w:r w:rsidR="00812D52">
              <w:rPr>
                <w:rFonts w:eastAsiaTheme="minorEastAsia"/>
                <w:noProof/>
              </w:rPr>
              <w:tab/>
            </w:r>
            <w:r w:rsidR="00812D52" w:rsidRPr="00DE60A6">
              <w:rPr>
                <w:rStyle w:val="Hyperlink"/>
                <w:noProof/>
                <w:shd w:val="clear" w:color="auto" w:fill="FFFFFF"/>
              </w:rPr>
              <w:t>Order Management</w:t>
            </w:r>
            <w:r w:rsidR="00812D52">
              <w:rPr>
                <w:noProof/>
                <w:webHidden/>
              </w:rPr>
              <w:tab/>
            </w:r>
            <w:r w:rsidR="00812D52">
              <w:rPr>
                <w:noProof/>
                <w:webHidden/>
              </w:rPr>
              <w:fldChar w:fldCharType="begin"/>
            </w:r>
            <w:r w:rsidR="00812D52">
              <w:rPr>
                <w:noProof/>
                <w:webHidden/>
              </w:rPr>
              <w:instrText xml:space="preserve"> PAGEREF _Toc65244836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3"/>
            <w:tabs>
              <w:tab w:val="left" w:pos="880"/>
              <w:tab w:val="right" w:leader="dot" w:pos="9350"/>
            </w:tabs>
            <w:rPr>
              <w:rFonts w:eastAsiaTheme="minorEastAsia"/>
              <w:noProof/>
            </w:rPr>
          </w:pPr>
          <w:hyperlink w:anchor="_Toc65244837" w:history="1">
            <w:r w:rsidR="00812D52" w:rsidRPr="00DE60A6">
              <w:rPr>
                <w:rStyle w:val="Hyperlink"/>
                <w:noProof/>
              </w:rPr>
              <w:t>1.</w:t>
            </w:r>
            <w:r w:rsidR="00812D52">
              <w:rPr>
                <w:rFonts w:eastAsiaTheme="minorEastAsia"/>
                <w:noProof/>
              </w:rPr>
              <w:tab/>
            </w:r>
            <w:r w:rsidR="00812D52" w:rsidRPr="00DE60A6">
              <w:rPr>
                <w:rStyle w:val="Hyperlink"/>
                <w:noProof/>
                <w:shd w:val="clear" w:color="auto" w:fill="FFFFFF"/>
              </w:rPr>
              <w:t>Electronic Order Interface</w:t>
            </w:r>
            <w:r w:rsidR="00812D52">
              <w:rPr>
                <w:noProof/>
                <w:webHidden/>
              </w:rPr>
              <w:tab/>
            </w:r>
            <w:r w:rsidR="00812D52">
              <w:rPr>
                <w:noProof/>
                <w:webHidden/>
              </w:rPr>
              <w:fldChar w:fldCharType="begin"/>
            </w:r>
            <w:r w:rsidR="00812D52">
              <w:rPr>
                <w:noProof/>
                <w:webHidden/>
              </w:rPr>
              <w:instrText xml:space="preserve"> PAGEREF _Toc65244837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3"/>
            <w:tabs>
              <w:tab w:val="left" w:pos="880"/>
              <w:tab w:val="right" w:leader="dot" w:pos="9350"/>
            </w:tabs>
            <w:rPr>
              <w:rFonts w:eastAsiaTheme="minorEastAsia"/>
              <w:noProof/>
            </w:rPr>
          </w:pPr>
          <w:hyperlink w:anchor="_Toc65244838" w:history="1">
            <w:r w:rsidR="00812D52" w:rsidRPr="00DE60A6">
              <w:rPr>
                <w:rStyle w:val="Hyperlink"/>
                <w:noProof/>
              </w:rPr>
              <w:t>2.</w:t>
            </w:r>
            <w:r w:rsidR="00812D52">
              <w:rPr>
                <w:rFonts w:eastAsiaTheme="minorEastAsia"/>
                <w:noProof/>
              </w:rPr>
              <w:tab/>
            </w:r>
            <w:r w:rsidR="00812D52" w:rsidRPr="00DE60A6">
              <w:rPr>
                <w:rStyle w:val="Hyperlink"/>
                <w:noProof/>
              </w:rPr>
              <w:t>Product Identifier Cross-Reference Maintenance</w:t>
            </w:r>
            <w:r w:rsidR="00812D52">
              <w:rPr>
                <w:noProof/>
                <w:webHidden/>
              </w:rPr>
              <w:tab/>
            </w:r>
            <w:r w:rsidR="00812D52">
              <w:rPr>
                <w:noProof/>
                <w:webHidden/>
              </w:rPr>
              <w:fldChar w:fldCharType="begin"/>
            </w:r>
            <w:r w:rsidR="00812D52">
              <w:rPr>
                <w:noProof/>
                <w:webHidden/>
              </w:rPr>
              <w:instrText xml:space="preserve"> PAGEREF _Toc65244838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39" w:history="1">
            <w:r w:rsidR="00812D52" w:rsidRPr="00DE60A6">
              <w:rPr>
                <w:rStyle w:val="Hyperlink"/>
                <w:rFonts w:eastAsia="Times New Roman"/>
                <w:noProof/>
              </w:rPr>
              <w:t>F.</w:t>
            </w:r>
            <w:r w:rsidR="00812D52">
              <w:rPr>
                <w:rFonts w:eastAsiaTheme="minorEastAsia"/>
                <w:noProof/>
              </w:rPr>
              <w:tab/>
            </w:r>
            <w:r w:rsidR="00812D52" w:rsidRPr="00DE60A6">
              <w:rPr>
                <w:rStyle w:val="Hyperlink"/>
                <w:rFonts w:eastAsia="Times New Roman"/>
                <w:noProof/>
              </w:rPr>
              <w:t>Tax Exempt Status</w:t>
            </w:r>
            <w:r w:rsidR="00812D52">
              <w:rPr>
                <w:noProof/>
                <w:webHidden/>
              </w:rPr>
              <w:tab/>
            </w:r>
            <w:r w:rsidR="00812D52">
              <w:rPr>
                <w:noProof/>
                <w:webHidden/>
              </w:rPr>
              <w:fldChar w:fldCharType="begin"/>
            </w:r>
            <w:r w:rsidR="00812D52">
              <w:rPr>
                <w:noProof/>
                <w:webHidden/>
              </w:rPr>
              <w:instrText xml:space="preserve"> PAGEREF _Toc65244839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40" w:history="1">
            <w:r w:rsidR="00812D52" w:rsidRPr="00DE60A6">
              <w:rPr>
                <w:rStyle w:val="Hyperlink"/>
                <w:rFonts w:eastAsia="Times New Roman"/>
                <w:noProof/>
              </w:rPr>
              <w:t>G.</w:t>
            </w:r>
            <w:r w:rsidR="00812D52">
              <w:rPr>
                <w:rFonts w:eastAsiaTheme="minorEastAsia"/>
                <w:noProof/>
              </w:rPr>
              <w:tab/>
            </w:r>
            <w:r w:rsidR="00812D52" w:rsidRPr="00DE60A6">
              <w:rPr>
                <w:rStyle w:val="Hyperlink"/>
                <w:rFonts w:eastAsia="Times New Roman"/>
                <w:noProof/>
              </w:rPr>
              <w:t>Payment Terms</w:t>
            </w:r>
            <w:r w:rsidR="00812D52">
              <w:rPr>
                <w:noProof/>
                <w:webHidden/>
              </w:rPr>
              <w:tab/>
            </w:r>
            <w:r w:rsidR="00812D52">
              <w:rPr>
                <w:noProof/>
                <w:webHidden/>
              </w:rPr>
              <w:fldChar w:fldCharType="begin"/>
            </w:r>
            <w:r w:rsidR="00812D52">
              <w:rPr>
                <w:noProof/>
                <w:webHidden/>
              </w:rPr>
              <w:instrText xml:space="preserve"> PAGEREF _Toc65244840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1"/>
            <w:tabs>
              <w:tab w:val="left" w:pos="440"/>
              <w:tab w:val="right" w:leader="dot" w:pos="9350"/>
            </w:tabs>
            <w:rPr>
              <w:rFonts w:eastAsiaTheme="minorEastAsia"/>
              <w:noProof/>
            </w:rPr>
          </w:pPr>
          <w:hyperlink w:anchor="_Toc65244841" w:history="1">
            <w:r w:rsidR="00812D52" w:rsidRPr="00DE60A6">
              <w:rPr>
                <w:rStyle w:val="Hyperlink"/>
                <w:rFonts w:eastAsia="Times New Roman"/>
                <w:noProof/>
              </w:rPr>
              <w:t>V.</w:t>
            </w:r>
            <w:r w:rsidR="00812D52">
              <w:rPr>
                <w:rFonts w:eastAsiaTheme="minorEastAsia"/>
                <w:noProof/>
              </w:rPr>
              <w:tab/>
            </w:r>
            <w:r w:rsidR="00812D52" w:rsidRPr="00DE60A6">
              <w:rPr>
                <w:rStyle w:val="Hyperlink"/>
                <w:rFonts w:eastAsia="Times New Roman"/>
                <w:noProof/>
              </w:rPr>
              <w:t>Supplemental Bidder Information</w:t>
            </w:r>
            <w:r w:rsidR="00812D52">
              <w:rPr>
                <w:noProof/>
                <w:webHidden/>
              </w:rPr>
              <w:tab/>
            </w:r>
            <w:r w:rsidR="00812D52">
              <w:rPr>
                <w:noProof/>
                <w:webHidden/>
              </w:rPr>
              <w:fldChar w:fldCharType="begin"/>
            </w:r>
            <w:r w:rsidR="00812D52">
              <w:rPr>
                <w:noProof/>
                <w:webHidden/>
              </w:rPr>
              <w:instrText xml:space="preserve"> PAGEREF _Toc65244841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42" w:history="1">
            <w:r w:rsidR="00812D52" w:rsidRPr="00DE60A6">
              <w:rPr>
                <w:rStyle w:val="Hyperlink"/>
                <w:rFonts w:eastAsia="Times New Roman"/>
                <w:noProof/>
              </w:rPr>
              <w:t>A.</w:t>
            </w:r>
            <w:r w:rsidR="00812D52">
              <w:rPr>
                <w:rFonts w:eastAsiaTheme="minorEastAsia"/>
                <w:noProof/>
              </w:rPr>
              <w:tab/>
            </w:r>
            <w:r w:rsidR="00812D52" w:rsidRPr="00DE60A6">
              <w:rPr>
                <w:rStyle w:val="Hyperlink"/>
                <w:rFonts w:eastAsia="Times New Roman"/>
                <w:noProof/>
              </w:rPr>
              <w:t>Business Continuity</w:t>
            </w:r>
            <w:r w:rsidR="00812D52">
              <w:rPr>
                <w:noProof/>
                <w:webHidden/>
              </w:rPr>
              <w:tab/>
            </w:r>
            <w:r w:rsidR="00812D52">
              <w:rPr>
                <w:noProof/>
                <w:webHidden/>
              </w:rPr>
              <w:fldChar w:fldCharType="begin"/>
            </w:r>
            <w:r w:rsidR="00812D52">
              <w:rPr>
                <w:noProof/>
                <w:webHidden/>
              </w:rPr>
              <w:instrText xml:space="preserve"> PAGEREF _Toc65244842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43" w:history="1">
            <w:r w:rsidR="00812D52" w:rsidRPr="00DE60A6">
              <w:rPr>
                <w:rStyle w:val="Hyperlink"/>
                <w:rFonts w:eastAsia="Times New Roman"/>
                <w:noProof/>
              </w:rPr>
              <w:t>B.</w:t>
            </w:r>
            <w:r w:rsidR="00812D52">
              <w:rPr>
                <w:rFonts w:eastAsiaTheme="minorEastAsia"/>
                <w:noProof/>
              </w:rPr>
              <w:tab/>
            </w:r>
            <w:r w:rsidR="00812D52" w:rsidRPr="00DE60A6">
              <w:rPr>
                <w:rStyle w:val="Hyperlink"/>
                <w:rFonts w:eastAsia="Times New Roman"/>
                <w:noProof/>
              </w:rPr>
              <w:t>Conformity of Proposal with SGC Requirements</w:t>
            </w:r>
            <w:r w:rsidR="00812D52">
              <w:rPr>
                <w:noProof/>
                <w:webHidden/>
              </w:rPr>
              <w:tab/>
            </w:r>
            <w:r w:rsidR="00812D52">
              <w:rPr>
                <w:noProof/>
                <w:webHidden/>
              </w:rPr>
              <w:fldChar w:fldCharType="begin"/>
            </w:r>
            <w:r w:rsidR="00812D52">
              <w:rPr>
                <w:noProof/>
                <w:webHidden/>
              </w:rPr>
              <w:instrText xml:space="preserve"> PAGEREF _Toc65244843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1"/>
            <w:tabs>
              <w:tab w:val="left" w:pos="660"/>
              <w:tab w:val="right" w:leader="dot" w:pos="9350"/>
            </w:tabs>
            <w:rPr>
              <w:rFonts w:eastAsiaTheme="minorEastAsia"/>
              <w:noProof/>
            </w:rPr>
          </w:pPr>
          <w:hyperlink w:anchor="_Toc65244844" w:history="1">
            <w:r w:rsidR="00812D52" w:rsidRPr="00DE60A6">
              <w:rPr>
                <w:rStyle w:val="Hyperlink"/>
                <w:rFonts w:eastAsia="Times New Roman"/>
                <w:noProof/>
              </w:rPr>
              <w:t>VI.</w:t>
            </w:r>
            <w:r w:rsidR="00812D52">
              <w:rPr>
                <w:rFonts w:eastAsiaTheme="minorEastAsia"/>
                <w:noProof/>
              </w:rPr>
              <w:tab/>
            </w:r>
            <w:r w:rsidR="00812D52" w:rsidRPr="00DE60A6">
              <w:rPr>
                <w:rStyle w:val="Hyperlink"/>
                <w:rFonts w:eastAsia="Times New Roman"/>
                <w:noProof/>
              </w:rPr>
              <w:t>Vendor Requirements</w:t>
            </w:r>
            <w:r w:rsidR="00812D52">
              <w:rPr>
                <w:noProof/>
                <w:webHidden/>
              </w:rPr>
              <w:tab/>
            </w:r>
            <w:r w:rsidR="00812D52">
              <w:rPr>
                <w:noProof/>
                <w:webHidden/>
              </w:rPr>
              <w:fldChar w:fldCharType="begin"/>
            </w:r>
            <w:r w:rsidR="00812D52">
              <w:rPr>
                <w:noProof/>
                <w:webHidden/>
              </w:rPr>
              <w:instrText xml:space="preserve"> PAGEREF _Toc65244844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45" w:history="1">
            <w:r w:rsidR="00812D52" w:rsidRPr="00DE60A6">
              <w:rPr>
                <w:rStyle w:val="Hyperlink"/>
                <w:rFonts w:eastAsia="Times New Roman"/>
                <w:noProof/>
              </w:rPr>
              <w:t>A.</w:t>
            </w:r>
            <w:r w:rsidR="00812D52">
              <w:rPr>
                <w:rFonts w:eastAsiaTheme="minorEastAsia"/>
                <w:noProof/>
              </w:rPr>
              <w:tab/>
            </w:r>
            <w:r w:rsidR="00812D52" w:rsidRPr="00DE60A6">
              <w:rPr>
                <w:rStyle w:val="Hyperlink"/>
                <w:rFonts w:eastAsia="Times New Roman"/>
                <w:noProof/>
              </w:rPr>
              <w:t>Proposal</w:t>
            </w:r>
            <w:r w:rsidR="00812D52">
              <w:rPr>
                <w:noProof/>
                <w:webHidden/>
              </w:rPr>
              <w:tab/>
            </w:r>
            <w:r w:rsidR="00812D52">
              <w:rPr>
                <w:noProof/>
                <w:webHidden/>
              </w:rPr>
              <w:fldChar w:fldCharType="begin"/>
            </w:r>
            <w:r w:rsidR="00812D52">
              <w:rPr>
                <w:noProof/>
                <w:webHidden/>
              </w:rPr>
              <w:instrText xml:space="preserve"> PAGEREF _Toc65244845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2"/>
            <w:tabs>
              <w:tab w:val="left" w:pos="660"/>
              <w:tab w:val="right" w:leader="dot" w:pos="9350"/>
            </w:tabs>
            <w:rPr>
              <w:rFonts w:eastAsiaTheme="minorEastAsia"/>
              <w:noProof/>
            </w:rPr>
          </w:pPr>
          <w:hyperlink w:anchor="_Toc65244846" w:history="1">
            <w:r w:rsidR="00812D52" w:rsidRPr="00DE60A6">
              <w:rPr>
                <w:rStyle w:val="Hyperlink"/>
                <w:rFonts w:eastAsia="Times New Roman"/>
                <w:noProof/>
              </w:rPr>
              <w:t>B.</w:t>
            </w:r>
            <w:r w:rsidR="00812D52">
              <w:rPr>
                <w:rFonts w:eastAsiaTheme="minorEastAsia"/>
                <w:noProof/>
              </w:rPr>
              <w:tab/>
            </w:r>
            <w:r w:rsidR="00812D52" w:rsidRPr="00DE60A6">
              <w:rPr>
                <w:rStyle w:val="Hyperlink"/>
                <w:rFonts w:eastAsia="Times New Roman"/>
                <w:noProof/>
              </w:rPr>
              <w:t>Standard Supply Agreement</w:t>
            </w:r>
            <w:r w:rsidR="00812D52">
              <w:rPr>
                <w:noProof/>
                <w:webHidden/>
              </w:rPr>
              <w:tab/>
            </w:r>
            <w:r w:rsidR="00812D52">
              <w:rPr>
                <w:noProof/>
                <w:webHidden/>
              </w:rPr>
              <w:fldChar w:fldCharType="begin"/>
            </w:r>
            <w:r w:rsidR="00812D52">
              <w:rPr>
                <w:noProof/>
                <w:webHidden/>
              </w:rPr>
              <w:instrText xml:space="preserve"> PAGEREF _Toc65244846 \h </w:instrText>
            </w:r>
            <w:r w:rsidR="00812D52">
              <w:rPr>
                <w:noProof/>
                <w:webHidden/>
              </w:rPr>
            </w:r>
            <w:r w:rsidR="00812D52">
              <w:rPr>
                <w:noProof/>
                <w:webHidden/>
              </w:rPr>
              <w:fldChar w:fldCharType="separate"/>
            </w:r>
            <w:r w:rsidR="00812D52">
              <w:rPr>
                <w:noProof/>
                <w:webHidden/>
              </w:rPr>
              <w:t>9</w:t>
            </w:r>
            <w:r w:rsidR="00812D52">
              <w:rPr>
                <w:noProof/>
                <w:webHidden/>
              </w:rPr>
              <w:fldChar w:fldCharType="end"/>
            </w:r>
          </w:hyperlink>
        </w:p>
        <w:p w:rsidR="00812D52" w:rsidRDefault="0007581E">
          <w:pPr>
            <w:pStyle w:val="TOC1"/>
            <w:tabs>
              <w:tab w:val="left" w:pos="660"/>
              <w:tab w:val="right" w:leader="dot" w:pos="9350"/>
            </w:tabs>
            <w:rPr>
              <w:rFonts w:eastAsiaTheme="minorEastAsia"/>
              <w:noProof/>
            </w:rPr>
          </w:pPr>
          <w:hyperlink w:anchor="_Toc65244847" w:history="1">
            <w:r w:rsidR="00812D52" w:rsidRPr="00DE60A6">
              <w:rPr>
                <w:rStyle w:val="Hyperlink"/>
                <w:rFonts w:eastAsia="Times New Roman"/>
                <w:noProof/>
                <w:highlight w:val="yellow"/>
              </w:rPr>
              <w:t>VII.</w:t>
            </w:r>
            <w:r w:rsidR="00812D52">
              <w:rPr>
                <w:rFonts w:eastAsiaTheme="minorEastAsia"/>
                <w:noProof/>
              </w:rPr>
              <w:tab/>
            </w:r>
            <w:r w:rsidR="00812D52" w:rsidRPr="00DE60A6">
              <w:rPr>
                <w:rStyle w:val="Hyperlink"/>
                <w:rFonts w:eastAsia="Times New Roman"/>
                <w:noProof/>
                <w:highlight w:val="yellow"/>
              </w:rPr>
              <w:t>Bid Submittal Checklist</w:t>
            </w:r>
            <w:r w:rsidR="00812D52">
              <w:rPr>
                <w:noProof/>
                <w:webHidden/>
              </w:rPr>
              <w:tab/>
            </w:r>
            <w:r w:rsidR="00812D52">
              <w:rPr>
                <w:noProof/>
                <w:webHidden/>
              </w:rPr>
              <w:fldChar w:fldCharType="begin"/>
            </w:r>
            <w:r w:rsidR="00812D52">
              <w:rPr>
                <w:noProof/>
                <w:webHidden/>
              </w:rPr>
              <w:instrText xml:space="preserve"> PAGEREF _Toc65244847 \h </w:instrText>
            </w:r>
            <w:r w:rsidR="00812D52">
              <w:rPr>
                <w:noProof/>
                <w:webHidden/>
              </w:rPr>
            </w:r>
            <w:r w:rsidR="00812D52">
              <w:rPr>
                <w:noProof/>
                <w:webHidden/>
              </w:rPr>
              <w:fldChar w:fldCharType="separate"/>
            </w:r>
            <w:r w:rsidR="00812D52">
              <w:rPr>
                <w:noProof/>
                <w:webHidden/>
              </w:rPr>
              <w:t>10</w:t>
            </w:r>
            <w:r w:rsidR="00812D52">
              <w:rPr>
                <w:noProof/>
                <w:webHidden/>
              </w:rPr>
              <w:fldChar w:fldCharType="end"/>
            </w:r>
          </w:hyperlink>
        </w:p>
        <w:p w:rsidR="00812D52" w:rsidRDefault="0007581E">
          <w:pPr>
            <w:pStyle w:val="TOC1"/>
            <w:tabs>
              <w:tab w:val="left" w:pos="660"/>
              <w:tab w:val="right" w:leader="dot" w:pos="9350"/>
            </w:tabs>
            <w:rPr>
              <w:rFonts w:eastAsiaTheme="minorEastAsia"/>
              <w:noProof/>
            </w:rPr>
          </w:pPr>
          <w:hyperlink w:anchor="_Toc65244848" w:history="1">
            <w:r w:rsidR="00812D52" w:rsidRPr="00DE60A6">
              <w:rPr>
                <w:rStyle w:val="Hyperlink"/>
                <w:rFonts w:eastAsia="Times New Roman"/>
                <w:noProof/>
              </w:rPr>
              <w:t>VIII.</w:t>
            </w:r>
            <w:r w:rsidR="00812D52">
              <w:rPr>
                <w:rFonts w:eastAsiaTheme="minorEastAsia"/>
                <w:noProof/>
              </w:rPr>
              <w:tab/>
            </w:r>
            <w:r w:rsidR="00812D52" w:rsidRPr="00DE60A6">
              <w:rPr>
                <w:rStyle w:val="Hyperlink"/>
                <w:rFonts w:eastAsia="Times New Roman"/>
                <w:noProof/>
              </w:rPr>
              <w:t>Bidder Certifications and Representations</w:t>
            </w:r>
            <w:r w:rsidR="00812D52">
              <w:rPr>
                <w:noProof/>
                <w:webHidden/>
              </w:rPr>
              <w:tab/>
            </w:r>
            <w:r w:rsidR="00812D52">
              <w:rPr>
                <w:noProof/>
                <w:webHidden/>
              </w:rPr>
              <w:fldChar w:fldCharType="begin"/>
            </w:r>
            <w:r w:rsidR="00812D52">
              <w:rPr>
                <w:noProof/>
                <w:webHidden/>
              </w:rPr>
              <w:instrText xml:space="preserve"> PAGEREF _Toc65244848 \h </w:instrText>
            </w:r>
            <w:r w:rsidR="00812D52">
              <w:rPr>
                <w:noProof/>
                <w:webHidden/>
              </w:rPr>
            </w:r>
            <w:r w:rsidR="00812D52">
              <w:rPr>
                <w:noProof/>
                <w:webHidden/>
              </w:rPr>
              <w:fldChar w:fldCharType="separate"/>
            </w:r>
            <w:r w:rsidR="00812D52">
              <w:rPr>
                <w:noProof/>
                <w:webHidden/>
              </w:rPr>
              <w:t>11</w:t>
            </w:r>
            <w:r w:rsidR="00812D52">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6524481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65244820"/>
      <w:r>
        <w:t>RFP Objective</w:t>
      </w:r>
      <w:bookmarkEnd w:id="1"/>
    </w:p>
    <w:p w:rsidR="00E96538" w:rsidRDefault="00E96538" w:rsidP="00E96538">
      <w:pPr>
        <w:spacing w:before="120" w:after="120" w:line="240" w:lineRule="auto"/>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657DEE">
        <w:rPr>
          <w:rFonts w:eastAsia="Times New Roman" w:cstheme="minorHAnsi"/>
        </w:rPr>
        <w:t>vendor for non</w:t>
      </w:r>
      <w:r w:rsidR="00470822">
        <w:rPr>
          <w:rFonts w:eastAsia="Times New Roman" w:cstheme="minorHAnsi"/>
        </w:rPr>
        <w:t>alcohol</w:t>
      </w:r>
      <w:r w:rsidR="00C35C7E">
        <w:rPr>
          <w:rFonts w:eastAsia="Times New Roman" w:cstheme="minorHAnsi"/>
        </w:rPr>
        <w:t>ic beverage supply</w:t>
      </w:r>
      <w:r w:rsidR="00657DEE">
        <w:rPr>
          <w:rFonts w:eastAsia="Times New Roman" w:cstheme="minorHAnsi"/>
        </w:rPr>
        <w:t xml:space="preserve">, equipment, </w:t>
      </w:r>
      <w:r w:rsidR="00C35C7E">
        <w:rPr>
          <w:rFonts w:eastAsia="Times New Roman" w:cstheme="minorHAnsi"/>
        </w:rPr>
        <w:t>and service</w:t>
      </w:r>
      <w:r w:rsidR="006A4D2A">
        <w:rPr>
          <w:rFonts w:eastAsia="Times New Roman" w:cstheme="minorHAnsi"/>
        </w:rPr>
        <w:t xml:space="preserve">. </w:t>
      </w:r>
    </w:p>
    <w:p w:rsidR="005749D9" w:rsidRDefault="005749D9" w:rsidP="00E96538">
      <w:pPr>
        <w:spacing w:before="120" w:after="120" w:line="240" w:lineRule="auto"/>
        <w:ind w:left="720"/>
        <w:rPr>
          <w:rFonts w:eastAsia="Times New Roman" w:cstheme="minorHAnsi"/>
        </w:rPr>
      </w:pPr>
      <w:r>
        <w:rPr>
          <w:rFonts w:eastAsia="Times New Roman" w:cstheme="minorHAnsi"/>
        </w:rPr>
        <w:t xml:space="preserve">Nonalcoholic beverages include carbonated soft drinks and other beverage products (with the exception of dairy products, hot coffees, hot teas, hot chocolates, alcoholic beverages, and primary </w:t>
      </w:r>
      <w:r w:rsidR="00657DEE">
        <w:rPr>
          <w:rFonts w:eastAsia="Times New Roman" w:cstheme="minorHAnsi"/>
        </w:rPr>
        <w:t xml:space="preserve">bottled </w:t>
      </w:r>
      <w:r>
        <w:rPr>
          <w:rFonts w:eastAsia="Times New Roman" w:cstheme="minorHAnsi"/>
        </w:rPr>
        <w:t xml:space="preserve">water supply). </w:t>
      </w:r>
    </w:p>
    <w:p w:rsidR="00E96538" w:rsidRDefault="00E96538" w:rsidP="00E96538">
      <w:pPr>
        <w:pStyle w:val="Heading1"/>
      </w:pPr>
      <w:bookmarkStart w:id="2" w:name="_Toc65244821"/>
      <w:r>
        <w:t>RFP Administrative Information</w:t>
      </w:r>
      <w:bookmarkEnd w:id="2"/>
    </w:p>
    <w:p w:rsidR="00E96538" w:rsidRDefault="00E96538" w:rsidP="00E96538">
      <w:pPr>
        <w:pStyle w:val="Heading2"/>
      </w:pPr>
      <w:bookmarkStart w:id="3" w:name="_Toc65244822"/>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70822">
        <w:rPr>
          <w:sz w:val="24"/>
          <w:szCs w:val="24"/>
        </w:rPr>
        <w:t>Matthew Crvelin</w:t>
      </w:r>
    </w:p>
    <w:p w:rsidR="00E96538"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70822">
        <w:rPr>
          <w:sz w:val="24"/>
          <w:szCs w:val="24"/>
        </w:rPr>
        <w:t>(716) 501-2190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70822">
        <w:rPr>
          <w:sz w:val="24"/>
          <w:szCs w:val="24"/>
        </w:rPr>
        <w:t>mcrvelin@senecacasinos.com</w:t>
      </w:r>
    </w:p>
    <w:p w:rsidR="00E96538" w:rsidRDefault="00E96538" w:rsidP="00E96538">
      <w:pPr>
        <w:pStyle w:val="Heading2"/>
      </w:pPr>
      <w:bookmarkStart w:id="4" w:name="_Toc65244823"/>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2D7D6A">
        <w:rPr>
          <w:sz w:val="24"/>
          <w:szCs w:val="24"/>
        </w:rPr>
        <w:t>3/8</w:t>
      </w:r>
      <w:r w:rsidR="006B6B03">
        <w:rPr>
          <w:sz w:val="24"/>
          <w:szCs w:val="24"/>
        </w:rPr>
        <w:t>/21</w:t>
      </w:r>
    </w:p>
    <w:p w:rsidR="00812D52" w:rsidRDefault="00F838FF" w:rsidP="00812D52">
      <w:pPr>
        <w:spacing w:before="120" w:after="120"/>
        <w:ind w:left="1440" w:firstLine="720"/>
        <w:rPr>
          <w:sz w:val="24"/>
          <w:szCs w:val="24"/>
        </w:rPr>
      </w:pPr>
      <w:r>
        <w:rPr>
          <w:sz w:val="24"/>
          <w:szCs w:val="24"/>
        </w:rPr>
        <w:t>*</w:t>
      </w:r>
      <w:r w:rsidR="00812D52">
        <w:rPr>
          <w:sz w:val="24"/>
          <w:szCs w:val="24"/>
        </w:rPr>
        <w:t>Request for walkthrough due:</w:t>
      </w:r>
      <w:r w:rsidR="00812D52">
        <w:rPr>
          <w:sz w:val="24"/>
          <w:szCs w:val="24"/>
        </w:rPr>
        <w:tab/>
        <w:t>3/10/21</w:t>
      </w:r>
      <w:r w:rsidR="00812D52">
        <w:rPr>
          <w:sz w:val="24"/>
          <w:szCs w:val="24"/>
        </w:rPr>
        <w:tab/>
      </w:r>
      <w:r w:rsidR="00812D52">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812D52">
        <w:rPr>
          <w:sz w:val="24"/>
          <w:szCs w:val="24"/>
        </w:rPr>
        <w:t>3/19</w:t>
      </w:r>
      <w:r w:rsidR="006B6B03">
        <w:rPr>
          <w:sz w:val="24"/>
          <w:szCs w:val="24"/>
        </w:rPr>
        <w:t>/21</w:t>
      </w:r>
    </w:p>
    <w:p w:rsidR="0007581E" w:rsidRDefault="0007581E" w:rsidP="00E96538">
      <w:pPr>
        <w:spacing w:before="120" w:after="120"/>
        <w:ind w:left="1440" w:firstLine="720"/>
        <w:rPr>
          <w:sz w:val="24"/>
          <w:szCs w:val="24"/>
        </w:rPr>
      </w:pPr>
      <w:r>
        <w:rPr>
          <w:sz w:val="24"/>
          <w:szCs w:val="24"/>
        </w:rPr>
        <w:t>Answers to questions due:</w:t>
      </w:r>
      <w:r>
        <w:rPr>
          <w:sz w:val="24"/>
          <w:szCs w:val="24"/>
        </w:rPr>
        <w:tab/>
      </w:r>
      <w:r>
        <w:rPr>
          <w:sz w:val="24"/>
          <w:szCs w:val="24"/>
        </w:rPr>
        <w:tab/>
        <w:t>3/24/21</w:t>
      </w:r>
    </w:p>
    <w:p w:rsidR="00E96538"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07581E">
        <w:rPr>
          <w:b/>
          <w:sz w:val="24"/>
          <w:szCs w:val="24"/>
        </w:rPr>
        <w:t>4/23</w:t>
      </w:r>
      <w:r w:rsidR="006B6B03">
        <w:rPr>
          <w:b/>
          <w:sz w:val="24"/>
          <w:szCs w:val="24"/>
        </w:rPr>
        <w:t>/21</w:t>
      </w:r>
      <w:r w:rsidRPr="00AB31A0">
        <w:rPr>
          <w:b/>
          <w:sz w:val="24"/>
          <w:szCs w:val="24"/>
        </w:rPr>
        <w:t xml:space="preserve"> by 5:00 PM Eastern Time</w:t>
      </w:r>
    </w:p>
    <w:p w:rsidR="00F838FF" w:rsidRPr="00F838FF" w:rsidRDefault="00F838FF" w:rsidP="00F838FF">
      <w:pPr>
        <w:spacing w:before="120" w:after="240"/>
        <w:ind w:left="1440"/>
        <w:rPr>
          <w:sz w:val="24"/>
          <w:szCs w:val="24"/>
        </w:rPr>
      </w:pPr>
      <w:r>
        <w:rPr>
          <w:sz w:val="24"/>
          <w:szCs w:val="24"/>
        </w:rPr>
        <w:t>*</w:t>
      </w:r>
      <w:r w:rsidRPr="00F838FF">
        <w:rPr>
          <w:i/>
          <w:sz w:val="24"/>
          <w:szCs w:val="24"/>
        </w:rPr>
        <w:t>Walkthrough requests must be submitted to the Buyer in writing and are subject to approval.</w:t>
      </w:r>
      <w:r>
        <w:rPr>
          <w:sz w:val="24"/>
          <w:szCs w:val="24"/>
        </w:rPr>
        <w:t xml:space="preserve"> </w:t>
      </w:r>
    </w:p>
    <w:p w:rsidR="00E96538" w:rsidRDefault="00E96538" w:rsidP="00E96538">
      <w:pPr>
        <w:pStyle w:val="Heading2"/>
        <w:rPr>
          <w:rFonts w:eastAsia="Times New Roman"/>
        </w:rPr>
      </w:pPr>
      <w:bookmarkStart w:id="5" w:name="_Toc65244824"/>
      <w:r>
        <w:rPr>
          <w:rFonts w:eastAsia="Times New Roman"/>
        </w:rPr>
        <w:lastRenderedPageBreak/>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65244825"/>
      <w:r>
        <w:rPr>
          <w:rFonts w:eastAsia="Times New Roman"/>
        </w:rPr>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7" w:name="_Toc17728971"/>
      <w:bookmarkStart w:id="8" w:name="_Toc65244826"/>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65244827"/>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F9454C">
        <w:rPr>
          <w:rFonts w:eastAsia="Times New Roman" w:cstheme="minorHAnsi"/>
          <w:b/>
        </w:rPr>
        <w:t>Bidder proposals must conform to the following proposal format</w:t>
      </w:r>
      <w:r w:rsidRPr="00F9454C">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6B6B03" w:rsidRPr="0007581E" w:rsidRDefault="00834241" w:rsidP="0007581E">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bookmarkStart w:id="11" w:name="_GoBack"/>
      <w:bookmarkEnd w:id="11"/>
    </w:p>
    <w:p w:rsidR="00834241" w:rsidRPr="00313EAB" w:rsidRDefault="00834241" w:rsidP="00834241">
      <w:pPr>
        <w:spacing w:after="120"/>
        <w:ind w:left="720" w:firstLine="720"/>
        <w:rPr>
          <w:u w:val="single"/>
        </w:rPr>
      </w:pPr>
      <w:r>
        <w:rPr>
          <w:u w:val="single"/>
        </w:rPr>
        <w:lastRenderedPageBreak/>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6E3BF0" w:rsidRDefault="00834241" w:rsidP="00834241">
      <w:pPr>
        <w:ind w:left="1440"/>
        <w:jc w:val="both"/>
        <w:rPr>
          <w:u w:val="single"/>
        </w:rPr>
      </w:pPr>
      <w:r w:rsidRPr="006E3BF0">
        <w:rPr>
          <w:u w:val="single"/>
        </w:rPr>
        <w:t>Section 2:  Market Basket Quotes</w:t>
      </w:r>
    </w:p>
    <w:p w:rsidR="00834241" w:rsidRDefault="00834241" w:rsidP="00834241">
      <w:pPr>
        <w:ind w:left="1440"/>
        <w:jc w:val="both"/>
      </w:pPr>
      <w:r>
        <w:t xml:space="preserve">This section requires Bidders to provide hard </w:t>
      </w:r>
      <w:r w:rsidRPr="006E3BF0">
        <w:t xml:space="preserve">quotes </w:t>
      </w:r>
      <w:r>
        <w:t>for each of the specified product and</w:t>
      </w:r>
      <w:r w:rsidR="004D32F5">
        <w:t xml:space="preserve">/or </w:t>
      </w:r>
      <w:r w:rsidR="007F794E">
        <w:t>service to be provided</w:t>
      </w:r>
      <w:r>
        <w:t>. Quotes must be submitted using</w:t>
      </w:r>
      <w:r w:rsidRPr="006E3BF0">
        <w:t xml:space="preserve"> the </w:t>
      </w:r>
      <w:r>
        <w:t xml:space="preserve">respective RFP </w:t>
      </w:r>
      <w:r w:rsidRPr="006E3BF0">
        <w:t xml:space="preserve">companion </w:t>
      </w:r>
      <w:r w:rsidR="00C35C7E">
        <w:t>document</w:t>
      </w:r>
      <w:r>
        <w:t xml:space="preserve"> identified below.</w:t>
      </w:r>
    </w:p>
    <w:p w:rsidR="00834241" w:rsidRPr="00C35C7E" w:rsidRDefault="009C5DF8" w:rsidP="004D32F5">
      <w:pPr>
        <w:spacing w:after="120"/>
        <w:ind w:left="1440" w:firstLine="720"/>
        <w:jc w:val="both"/>
      </w:pPr>
      <w:r>
        <w:rPr>
          <w:b/>
        </w:rPr>
        <w:t>“Companion Document – Nona</w:t>
      </w:r>
      <w:r w:rsidR="00C35C7E" w:rsidRPr="00C35C7E">
        <w:rPr>
          <w:b/>
        </w:rPr>
        <w:t>lcoholic Beverage Supply and Service”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 xml:space="preserve">Insurance requirements vary depending upon the nature of the services and the degree of risk. Standard requirements include minimum $5 million general liability coverage (per occurrence and in the aggregate) [$10 million for </w:t>
      </w:r>
      <w:r w:rsidRPr="00281D20">
        <w:lastRenderedPageBreak/>
        <w:t>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65244828"/>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65244829"/>
      <w:r>
        <w:rPr>
          <w:rFonts w:eastAsia="Times New Roman"/>
        </w:rPr>
        <w:lastRenderedPageBreak/>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65244830"/>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65244831"/>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65244832"/>
      <w:r>
        <w:rPr>
          <w:rFonts w:eastAsia="Times New Roman"/>
        </w:rPr>
        <w:t>Agreement Term</w:t>
      </w:r>
      <w:bookmarkEnd w:id="16"/>
    </w:p>
    <w:p w:rsidR="00E96538" w:rsidRPr="00EA5550" w:rsidRDefault="00E96538" w:rsidP="00E96538">
      <w:pPr>
        <w:spacing w:after="0"/>
        <w:ind w:left="1440"/>
        <w:jc w:val="both"/>
      </w:pPr>
      <w:r w:rsidRPr="00470822">
        <w:t xml:space="preserve">The initial term of the contract will be </w:t>
      </w:r>
      <w:r w:rsidR="00470822" w:rsidRPr="00470822">
        <w:t>three (3)</w:t>
      </w:r>
      <w:r w:rsidR="00470822">
        <w:t xml:space="preserve"> </w:t>
      </w:r>
      <w:r w:rsidR="00470822" w:rsidRPr="00470822">
        <w:t>years</w:t>
      </w:r>
      <w:r w:rsidRPr="00470822">
        <w:t xml:space="preserve">, with </w:t>
      </w:r>
      <w:r w:rsidR="00470822" w:rsidRPr="00470822">
        <w:t>two</w:t>
      </w:r>
      <w:r w:rsidR="00470822">
        <w:t xml:space="preserve"> (2) </w:t>
      </w:r>
      <w:r w:rsidRPr="00EA5550">
        <w:t xml:space="preserve">options to renew in favor of SGC, each </w:t>
      </w:r>
      <w:r w:rsidR="00470822">
        <w:t xml:space="preserve">one </w:t>
      </w:r>
      <w:r w:rsidRPr="00EA5550">
        <w:t xml:space="preserve">(1) year in duration (each a renewal term). </w:t>
      </w:r>
    </w:p>
    <w:p w:rsidR="00E96538" w:rsidRPr="00EA5550" w:rsidRDefault="00E96538" w:rsidP="00E96538">
      <w:pPr>
        <w:spacing w:before="120" w:after="120"/>
        <w:ind w:left="1440"/>
        <w:jc w:val="both"/>
      </w:pPr>
      <w:r w:rsidRPr="00EA5550">
        <w:lastRenderedPageBreak/>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65244833"/>
      <w:r>
        <w:t>Requirements</w:t>
      </w:r>
      <w:r w:rsidR="004D32F5">
        <w:t xml:space="preserve"> Specification</w:t>
      </w:r>
      <w:bookmarkEnd w:id="17"/>
    </w:p>
    <w:p w:rsidR="00E96538" w:rsidRDefault="00065CEB" w:rsidP="00470E46">
      <w:pPr>
        <w:ind w:left="1440"/>
      </w:pPr>
      <w:r>
        <w:t xml:space="preserve">The enclosed details related to the goods and/or services in this RFP are based upon the operating department’s requirements. </w:t>
      </w:r>
    </w:p>
    <w:p w:rsidR="003921B9" w:rsidRPr="00F3029A" w:rsidRDefault="00F9454C" w:rsidP="00F3029A">
      <w:pPr>
        <w:ind w:left="1440"/>
        <w:jc w:val="both"/>
        <w:rPr>
          <w:i/>
          <w:color w:val="FF0000"/>
        </w:rPr>
      </w:pPr>
      <w:r w:rsidRPr="00F3029A">
        <w:rPr>
          <w:i/>
          <w:color w:val="FF0000"/>
        </w:rPr>
        <w:t>*Please see the attac</w:t>
      </w:r>
      <w:r w:rsidR="009C5DF8" w:rsidRPr="00F3029A">
        <w:rPr>
          <w:i/>
          <w:color w:val="FF0000"/>
        </w:rPr>
        <w:t>hment “Companion Document – Nona</w:t>
      </w:r>
      <w:r w:rsidRPr="00F3029A">
        <w:rPr>
          <w:i/>
          <w:color w:val="FF0000"/>
        </w:rPr>
        <w:t xml:space="preserve">lcoholic Beverage Supply and Service” for requirements and questions related to this RFP. This document must be completed and returned with your bid. </w:t>
      </w:r>
    </w:p>
    <w:p w:rsidR="00F3029A" w:rsidRPr="008952ED" w:rsidRDefault="00F3029A" w:rsidP="00F3029A">
      <w:pPr>
        <w:ind w:left="1440"/>
        <w:rPr>
          <w:b/>
        </w:rPr>
      </w:pPr>
      <w:r w:rsidRPr="008952ED">
        <w:rPr>
          <w:b/>
        </w:rPr>
        <w:t>Beverage Usage</w:t>
      </w:r>
      <w:r>
        <w:rPr>
          <w:b/>
        </w:rPr>
        <w:t>:</w:t>
      </w:r>
      <w:r w:rsidR="00543C3E">
        <w:rPr>
          <w:b/>
        </w:rPr>
        <w:t xml:space="preserve"> </w:t>
      </w:r>
      <w:r w:rsidR="00543C3E" w:rsidRPr="00543C3E">
        <w:t>Please see the Companion Document for a detailed breakdown of item usage.</w:t>
      </w:r>
      <w:r w:rsidR="00543C3E">
        <w:rPr>
          <w:b/>
        </w:rPr>
        <w:t xml:space="preserve"> </w:t>
      </w:r>
    </w:p>
    <w:tbl>
      <w:tblPr>
        <w:tblStyle w:val="TableGrid"/>
        <w:tblW w:w="7915" w:type="dxa"/>
        <w:tblInd w:w="1440" w:type="dxa"/>
        <w:tblLook w:val="04A0" w:firstRow="1" w:lastRow="0" w:firstColumn="1" w:lastColumn="0" w:noHBand="0" w:noVBand="1"/>
      </w:tblPr>
      <w:tblGrid>
        <w:gridCol w:w="2425"/>
        <w:gridCol w:w="1350"/>
        <w:gridCol w:w="2070"/>
        <w:gridCol w:w="2070"/>
      </w:tblGrid>
      <w:tr w:rsidR="00F3029A" w:rsidTr="00812D52">
        <w:tc>
          <w:tcPr>
            <w:tcW w:w="2425" w:type="dxa"/>
            <w:shd w:val="clear" w:color="auto" w:fill="D0CECE" w:themeFill="background2" w:themeFillShade="E6"/>
            <w:vAlign w:val="center"/>
          </w:tcPr>
          <w:p w:rsidR="00F3029A" w:rsidRPr="003921B9" w:rsidRDefault="00F3029A" w:rsidP="00812D52">
            <w:pPr>
              <w:jc w:val="center"/>
              <w:rPr>
                <w:b/>
              </w:rPr>
            </w:pPr>
            <w:r w:rsidRPr="003921B9">
              <w:rPr>
                <w:b/>
              </w:rPr>
              <w:t>ITEM</w:t>
            </w:r>
          </w:p>
        </w:tc>
        <w:tc>
          <w:tcPr>
            <w:tcW w:w="1350" w:type="dxa"/>
            <w:shd w:val="clear" w:color="auto" w:fill="D0CECE" w:themeFill="background2" w:themeFillShade="E6"/>
            <w:vAlign w:val="center"/>
          </w:tcPr>
          <w:p w:rsidR="00F3029A" w:rsidRPr="003921B9" w:rsidRDefault="00F3029A" w:rsidP="00812D52">
            <w:pPr>
              <w:jc w:val="center"/>
              <w:rPr>
                <w:b/>
              </w:rPr>
            </w:pPr>
            <w:r w:rsidRPr="003921B9">
              <w:rPr>
                <w:b/>
              </w:rPr>
              <w:t>U/M</w:t>
            </w:r>
          </w:p>
        </w:tc>
        <w:tc>
          <w:tcPr>
            <w:tcW w:w="2070" w:type="dxa"/>
            <w:shd w:val="clear" w:color="auto" w:fill="D0CECE" w:themeFill="background2" w:themeFillShade="E6"/>
            <w:vAlign w:val="center"/>
          </w:tcPr>
          <w:p w:rsidR="00F3029A" w:rsidRPr="007425F4" w:rsidRDefault="00F3029A" w:rsidP="00812D52">
            <w:pPr>
              <w:jc w:val="center"/>
              <w:rPr>
                <w:b/>
              </w:rPr>
            </w:pPr>
            <w:r w:rsidRPr="007425F4">
              <w:rPr>
                <w:b/>
              </w:rPr>
              <w:t xml:space="preserve">SGC </w:t>
            </w:r>
            <w:r>
              <w:rPr>
                <w:b/>
              </w:rPr>
              <w:t>1yr Total</w:t>
            </w:r>
          </w:p>
          <w:p w:rsidR="00F3029A" w:rsidRPr="007425F4" w:rsidRDefault="00F3029A" w:rsidP="00812D52">
            <w:pPr>
              <w:jc w:val="center"/>
            </w:pPr>
            <w:r w:rsidRPr="007425F4">
              <w:t>(10/1/18</w:t>
            </w:r>
            <w:r>
              <w:t xml:space="preserve"> </w:t>
            </w:r>
            <w:r w:rsidRPr="007425F4">
              <w:t>-</w:t>
            </w:r>
            <w:r>
              <w:t xml:space="preserve"> </w:t>
            </w:r>
            <w:r w:rsidRPr="007425F4">
              <w:t>9/30/19)</w:t>
            </w:r>
          </w:p>
        </w:tc>
        <w:tc>
          <w:tcPr>
            <w:tcW w:w="2070" w:type="dxa"/>
            <w:shd w:val="clear" w:color="auto" w:fill="D0CECE" w:themeFill="background2" w:themeFillShade="E6"/>
          </w:tcPr>
          <w:p w:rsidR="00F3029A" w:rsidRDefault="00F3029A" w:rsidP="00812D52">
            <w:pPr>
              <w:jc w:val="center"/>
              <w:rPr>
                <w:b/>
              </w:rPr>
            </w:pPr>
            <w:r>
              <w:rPr>
                <w:b/>
              </w:rPr>
              <w:t>SGC 6mo Total</w:t>
            </w:r>
          </w:p>
          <w:p w:rsidR="00F3029A" w:rsidRPr="007425F4" w:rsidRDefault="00F3029A" w:rsidP="00812D52">
            <w:pPr>
              <w:jc w:val="center"/>
            </w:pPr>
            <w:r w:rsidRPr="007425F4">
              <w:t>(7/1/20</w:t>
            </w:r>
            <w:r>
              <w:t xml:space="preserve"> </w:t>
            </w:r>
            <w:r w:rsidRPr="007425F4">
              <w:t>-</w:t>
            </w:r>
            <w:r>
              <w:t xml:space="preserve"> </w:t>
            </w:r>
            <w:r w:rsidRPr="007425F4">
              <w:t>12/31/20)</w:t>
            </w:r>
          </w:p>
        </w:tc>
      </w:tr>
      <w:tr w:rsidR="00F3029A" w:rsidTr="00812D52">
        <w:tc>
          <w:tcPr>
            <w:tcW w:w="2425" w:type="dxa"/>
          </w:tcPr>
          <w:p w:rsidR="00F3029A" w:rsidRDefault="00F3029A" w:rsidP="00812D52">
            <w:r>
              <w:t>BIB</w:t>
            </w:r>
          </w:p>
        </w:tc>
        <w:tc>
          <w:tcPr>
            <w:tcW w:w="1350" w:type="dxa"/>
            <w:vAlign w:val="center"/>
          </w:tcPr>
          <w:p w:rsidR="00F3029A" w:rsidRDefault="00F3029A" w:rsidP="00812D52">
            <w:pPr>
              <w:jc w:val="center"/>
            </w:pPr>
            <w:r>
              <w:t>GAL</w:t>
            </w:r>
          </w:p>
        </w:tc>
        <w:tc>
          <w:tcPr>
            <w:tcW w:w="2070" w:type="dxa"/>
            <w:vAlign w:val="center"/>
          </w:tcPr>
          <w:p w:rsidR="00F3029A" w:rsidRDefault="00AF16CA" w:rsidP="00812D52">
            <w:pPr>
              <w:jc w:val="center"/>
            </w:pPr>
            <w:r>
              <w:t>116,</w:t>
            </w:r>
            <w:r w:rsidR="00F3029A">
              <w:t>131</w:t>
            </w:r>
          </w:p>
        </w:tc>
        <w:tc>
          <w:tcPr>
            <w:tcW w:w="2070" w:type="dxa"/>
          </w:tcPr>
          <w:p w:rsidR="00F3029A" w:rsidRDefault="00F3029A" w:rsidP="00812D52">
            <w:pPr>
              <w:jc w:val="center"/>
            </w:pPr>
            <w:r>
              <w:t>4</w:t>
            </w:r>
            <w:r w:rsidR="00AF16CA">
              <w:t>,</w:t>
            </w:r>
            <w:r>
              <w:t>440</w:t>
            </w:r>
          </w:p>
        </w:tc>
      </w:tr>
      <w:tr w:rsidR="00F3029A" w:rsidTr="00812D52">
        <w:tc>
          <w:tcPr>
            <w:tcW w:w="2425" w:type="dxa"/>
          </w:tcPr>
          <w:p w:rsidR="00F3029A" w:rsidRDefault="00F3029A" w:rsidP="00812D52">
            <w:r>
              <w:t>JUICE</w:t>
            </w:r>
          </w:p>
        </w:tc>
        <w:tc>
          <w:tcPr>
            <w:tcW w:w="1350" w:type="dxa"/>
            <w:vAlign w:val="center"/>
          </w:tcPr>
          <w:p w:rsidR="00F3029A" w:rsidRDefault="00F3029A" w:rsidP="00812D52">
            <w:pPr>
              <w:jc w:val="center"/>
            </w:pPr>
            <w:r>
              <w:t>CASE</w:t>
            </w:r>
          </w:p>
        </w:tc>
        <w:tc>
          <w:tcPr>
            <w:tcW w:w="2070" w:type="dxa"/>
            <w:vAlign w:val="center"/>
          </w:tcPr>
          <w:p w:rsidR="00F3029A" w:rsidRDefault="00812D52" w:rsidP="00812D52">
            <w:pPr>
              <w:jc w:val="center"/>
            </w:pPr>
            <w:r>
              <w:t>1</w:t>
            </w:r>
            <w:r w:rsidR="00AF16CA">
              <w:t>,</w:t>
            </w:r>
            <w:r>
              <w:t>830</w:t>
            </w:r>
          </w:p>
        </w:tc>
        <w:tc>
          <w:tcPr>
            <w:tcW w:w="2070" w:type="dxa"/>
          </w:tcPr>
          <w:p w:rsidR="00F3029A" w:rsidRDefault="00812D52" w:rsidP="00812D52">
            <w:pPr>
              <w:jc w:val="center"/>
            </w:pPr>
            <w:r>
              <w:t>324</w:t>
            </w:r>
          </w:p>
        </w:tc>
      </w:tr>
      <w:tr w:rsidR="00F3029A" w:rsidTr="00812D52">
        <w:tc>
          <w:tcPr>
            <w:tcW w:w="2425" w:type="dxa"/>
          </w:tcPr>
          <w:p w:rsidR="00F3029A" w:rsidRDefault="00812D52" w:rsidP="00812D52">
            <w:r>
              <w:t>BOTTLED SODA</w:t>
            </w:r>
          </w:p>
        </w:tc>
        <w:tc>
          <w:tcPr>
            <w:tcW w:w="1350" w:type="dxa"/>
            <w:vAlign w:val="center"/>
          </w:tcPr>
          <w:p w:rsidR="00F3029A" w:rsidRDefault="00F3029A" w:rsidP="00812D52">
            <w:pPr>
              <w:jc w:val="center"/>
            </w:pPr>
            <w:r>
              <w:t>CASE</w:t>
            </w:r>
          </w:p>
        </w:tc>
        <w:tc>
          <w:tcPr>
            <w:tcW w:w="2070" w:type="dxa"/>
            <w:vAlign w:val="center"/>
          </w:tcPr>
          <w:p w:rsidR="00F3029A" w:rsidRDefault="00AF16CA" w:rsidP="00812D52">
            <w:pPr>
              <w:jc w:val="center"/>
            </w:pPr>
            <w:r>
              <w:t>11,243</w:t>
            </w:r>
          </w:p>
        </w:tc>
        <w:tc>
          <w:tcPr>
            <w:tcW w:w="2070" w:type="dxa"/>
          </w:tcPr>
          <w:p w:rsidR="00F3029A" w:rsidRDefault="00AF16CA" w:rsidP="00812D52">
            <w:pPr>
              <w:jc w:val="center"/>
            </w:pPr>
            <w:r>
              <w:t>2,091</w:t>
            </w:r>
          </w:p>
        </w:tc>
      </w:tr>
      <w:tr w:rsidR="00F3029A" w:rsidTr="00812D52">
        <w:tc>
          <w:tcPr>
            <w:tcW w:w="2425" w:type="dxa"/>
          </w:tcPr>
          <w:p w:rsidR="00F3029A" w:rsidRDefault="00812D52" w:rsidP="00812D52">
            <w:r>
              <w:t>CANNED SODA</w:t>
            </w:r>
          </w:p>
        </w:tc>
        <w:tc>
          <w:tcPr>
            <w:tcW w:w="1350" w:type="dxa"/>
            <w:vAlign w:val="center"/>
          </w:tcPr>
          <w:p w:rsidR="00F3029A" w:rsidRDefault="00F3029A" w:rsidP="00812D52">
            <w:pPr>
              <w:jc w:val="center"/>
            </w:pPr>
            <w:r>
              <w:t>CASE</w:t>
            </w:r>
          </w:p>
        </w:tc>
        <w:tc>
          <w:tcPr>
            <w:tcW w:w="2070" w:type="dxa"/>
            <w:vAlign w:val="center"/>
          </w:tcPr>
          <w:p w:rsidR="00F3029A" w:rsidRDefault="00AF16CA" w:rsidP="00812D52">
            <w:pPr>
              <w:jc w:val="center"/>
            </w:pPr>
            <w:r>
              <w:t>12,069</w:t>
            </w:r>
          </w:p>
        </w:tc>
        <w:tc>
          <w:tcPr>
            <w:tcW w:w="2070" w:type="dxa"/>
          </w:tcPr>
          <w:p w:rsidR="00F3029A" w:rsidRDefault="00AF16CA" w:rsidP="00812D52">
            <w:pPr>
              <w:jc w:val="center"/>
            </w:pPr>
            <w:r>
              <w:t>8,653</w:t>
            </w:r>
          </w:p>
        </w:tc>
      </w:tr>
      <w:tr w:rsidR="00812D52" w:rsidTr="00812D52">
        <w:tc>
          <w:tcPr>
            <w:tcW w:w="2425" w:type="dxa"/>
          </w:tcPr>
          <w:p w:rsidR="00812D52" w:rsidRDefault="00812D52" w:rsidP="00812D52">
            <w:r>
              <w:t>WATER</w:t>
            </w:r>
          </w:p>
        </w:tc>
        <w:tc>
          <w:tcPr>
            <w:tcW w:w="1350" w:type="dxa"/>
            <w:vAlign w:val="center"/>
          </w:tcPr>
          <w:p w:rsidR="00812D52" w:rsidRDefault="00812D52" w:rsidP="00812D52">
            <w:pPr>
              <w:jc w:val="center"/>
            </w:pPr>
            <w:r>
              <w:t>CASE</w:t>
            </w:r>
          </w:p>
        </w:tc>
        <w:tc>
          <w:tcPr>
            <w:tcW w:w="2070" w:type="dxa"/>
            <w:vAlign w:val="center"/>
          </w:tcPr>
          <w:p w:rsidR="00812D52" w:rsidRDefault="00812D52" w:rsidP="00812D52">
            <w:pPr>
              <w:jc w:val="center"/>
            </w:pPr>
            <w:r>
              <w:t>2</w:t>
            </w:r>
            <w:r w:rsidR="00AF16CA">
              <w:t>,</w:t>
            </w:r>
            <w:r>
              <w:t>945</w:t>
            </w:r>
          </w:p>
        </w:tc>
        <w:tc>
          <w:tcPr>
            <w:tcW w:w="2070" w:type="dxa"/>
          </w:tcPr>
          <w:p w:rsidR="00812D52" w:rsidRDefault="00812D52" w:rsidP="00812D52">
            <w:pPr>
              <w:jc w:val="center"/>
            </w:pPr>
            <w:r>
              <w:t>359</w:t>
            </w:r>
          </w:p>
        </w:tc>
      </w:tr>
      <w:tr w:rsidR="00812D52" w:rsidTr="00812D52">
        <w:tc>
          <w:tcPr>
            <w:tcW w:w="2425" w:type="dxa"/>
          </w:tcPr>
          <w:p w:rsidR="00812D52" w:rsidRDefault="00812D52" w:rsidP="00812D52">
            <w:r>
              <w:t>COLD TEAS</w:t>
            </w:r>
          </w:p>
        </w:tc>
        <w:tc>
          <w:tcPr>
            <w:tcW w:w="1350" w:type="dxa"/>
            <w:vAlign w:val="center"/>
          </w:tcPr>
          <w:p w:rsidR="00812D52" w:rsidRDefault="00812D52" w:rsidP="00812D52">
            <w:pPr>
              <w:jc w:val="center"/>
            </w:pPr>
            <w:r>
              <w:t>CASE</w:t>
            </w:r>
          </w:p>
        </w:tc>
        <w:tc>
          <w:tcPr>
            <w:tcW w:w="2070" w:type="dxa"/>
            <w:vAlign w:val="center"/>
          </w:tcPr>
          <w:p w:rsidR="00812D52" w:rsidRDefault="00812D52" w:rsidP="00812D52">
            <w:pPr>
              <w:jc w:val="center"/>
            </w:pPr>
            <w:r>
              <w:t>1</w:t>
            </w:r>
            <w:r w:rsidR="00AF16CA">
              <w:t>,</w:t>
            </w:r>
            <w:r>
              <w:t>793</w:t>
            </w:r>
          </w:p>
        </w:tc>
        <w:tc>
          <w:tcPr>
            <w:tcW w:w="2070" w:type="dxa"/>
          </w:tcPr>
          <w:p w:rsidR="00812D52" w:rsidRDefault="00812D52" w:rsidP="00812D52">
            <w:pPr>
              <w:jc w:val="center"/>
            </w:pPr>
            <w:r>
              <w:t>477</w:t>
            </w:r>
          </w:p>
        </w:tc>
      </w:tr>
      <w:tr w:rsidR="00F3029A" w:rsidTr="00812D52">
        <w:tc>
          <w:tcPr>
            <w:tcW w:w="2425" w:type="dxa"/>
          </w:tcPr>
          <w:p w:rsidR="00F3029A" w:rsidRDefault="00F3029A" w:rsidP="00812D52">
            <w:r>
              <w:t xml:space="preserve">MISC. </w:t>
            </w:r>
            <w:r w:rsidR="00812D52">
              <w:t xml:space="preserve">BOTTLED </w:t>
            </w:r>
          </w:p>
        </w:tc>
        <w:tc>
          <w:tcPr>
            <w:tcW w:w="1350" w:type="dxa"/>
            <w:vAlign w:val="center"/>
          </w:tcPr>
          <w:p w:rsidR="00F3029A" w:rsidRDefault="00F3029A" w:rsidP="00812D52">
            <w:pPr>
              <w:jc w:val="center"/>
            </w:pPr>
            <w:r>
              <w:t>CASE</w:t>
            </w:r>
          </w:p>
        </w:tc>
        <w:tc>
          <w:tcPr>
            <w:tcW w:w="2070" w:type="dxa"/>
            <w:vAlign w:val="center"/>
          </w:tcPr>
          <w:p w:rsidR="00F3029A" w:rsidRDefault="00AF16CA" w:rsidP="00812D52">
            <w:pPr>
              <w:jc w:val="center"/>
            </w:pPr>
            <w:r>
              <w:t>1,366</w:t>
            </w:r>
          </w:p>
        </w:tc>
        <w:tc>
          <w:tcPr>
            <w:tcW w:w="2070" w:type="dxa"/>
          </w:tcPr>
          <w:p w:rsidR="00F3029A" w:rsidRDefault="00AF16CA" w:rsidP="00812D52">
            <w:pPr>
              <w:jc w:val="center"/>
            </w:pPr>
            <w:r>
              <w:t>205</w:t>
            </w:r>
          </w:p>
        </w:tc>
      </w:tr>
      <w:tr w:rsidR="00F3029A" w:rsidTr="00812D52">
        <w:tc>
          <w:tcPr>
            <w:tcW w:w="2425" w:type="dxa"/>
          </w:tcPr>
          <w:p w:rsidR="00F3029A" w:rsidRDefault="00F3029A" w:rsidP="00812D52">
            <w:r>
              <w:t xml:space="preserve">MISC. </w:t>
            </w:r>
            <w:r w:rsidR="00812D52">
              <w:t>CANNED</w:t>
            </w:r>
          </w:p>
        </w:tc>
        <w:tc>
          <w:tcPr>
            <w:tcW w:w="1350" w:type="dxa"/>
            <w:vAlign w:val="center"/>
          </w:tcPr>
          <w:p w:rsidR="00F3029A" w:rsidRDefault="00F3029A" w:rsidP="00812D52">
            <w:pPr>
              <w:jc w:val="center"/>
            </w:pPr>
            <w:r>
              <w:t>CASE</w:t>
            </w:r>
          </w:p>
        </w:tc>
        <w:tc>
          <w:tcPr>
            <w:tcW w:w="2070" w:type="dxa"/>
            <w:vAlign w:val="center"/>
          </w:tcPr>
          <w:p w:rsidR="00F3029A" w:rsidRDefault="00AF16CA" w:rsidP="00812D52">
            <w:pPr>
              <w:jc w:val="center"/>
            </w:pPr>
            <w:r>
              <w:t>186</w:t>
            </w:r>
          </w:p>
        </w:tc>
        <w:tc>
          <w:tcPr>
            <w:tcW w:w="2070" w:type="dxa"/>
          </w:tcPr>
          <w:p w:rsidR="00F3029A" w:rsidRDefault="00AF16CA" w:rsidP="00812D52">
            <w:pPr>
              <w:jc w:val="center"/>
            </w:pPr>
            <w:r>
              <w:t>25</w:t>
            </w:r>
          </w:p>
        </w:tc>
      </w:tr>
    </w:tbl>
    <w:p w:rsidR="00F3029A" w:rsidRPr="00F3029A" w:rsidRDefault="00F3029A" w:rsidP="00F3029A">
      <w:pPr>
        <w:ind w:left="1440"/>
        <w:jc w:val="both"/>
      </w:pPr>
    </w:p>
    <w:p w:rsidR="006323C1" w:rsidRPr="00F3029A" w:rsidRDefault="0038276D" w:rsidP="00F3029A">
      <w:pPr>
        <w:ind w:left="1440"/>
        <w:rPr>
          <w:b/>
        </w:rPr>
      </w:pPr>
      <w:r>
        <w:rPr>
          <w:b/>
        </w:rPr>
        <w:t>Equipment/</w:t>
      </w:r>
      <w:r w:rsidR="003921B9" w:rsidRPr="008952ED">
        <w:rPr>
          <w:b/>
        </w:rPr>
        <w:t>Vending</w:t>
      </w:r>
      <w:r>
        <w:rPr>
          <w:b/>
        </w:rPr>
        <w:t xml:space="preserve"> Requirements</w:t>
      </w:r>
      <w:r w:rsidR="00402236">
        <w:rPr>
          <w:b/>
        </w:rPr>
        <w:t>:</w:t>
      </w:r>
      <w:r w:rsidR="00F3029A">
        <w:rPr>
          <w:b/>
        </w:rPr>
        <w:t xml:space="preserve"> </w:t>
      </w:r>
      <w:r w:rsidR="00F3029A" w:rsidRPr="00F3029A">
        <w:t>Please see the Companion Document for a list of equipment requirements.</w:t>
      </w:r>
      <w:r w:rsidR="00F3029A">
        <w:rPr>
          <w:b/>
        </w:rPr>
        <w:t xml:space="preserve"> </w:t>
      </w:r>
    </w:p>
    <w:p w:rsidR="00F3029A" w:rsidRDefault="0038276D" w:rsidP="00F3029A">
      <w:pPr>
        <w:ind w:left="1440"/>
      </w:pPr>
      <w:r w:rsidRPr="0038276D">
        <w:t xml:space="preserve">Bidder shall supply, free of charge, </w:t>
      </w:r>
      <w:r>
        <w:t>all</w:t>
      </w:r>
      <w:r w:rsidRPr="0038276D">
        <w:t xml:space="preserve"> equipment listed. If additional equipment is required for SGC’s current or future</w:t>
      </w:r>
      <w:r>
        <w:t xml:space="preserve"> locations to those listed</w:t>
      </w:r>
      <w:r w:rsidRPr="0038276D">
        <w:t>, Bidder will supply same free of char</w:t>
      </w:r>
      <w:r>
        <w:t xml:space="preserve">ge. </w:t>
      </w:r>
      <w:r w:rsidRPr="0038276D">
        <w:t>Bidder agrees to inspect all equipment on a monthly basis and perform preventative maintenance, repairs or replacement machines, free of charges, needed to ensure all equipment remains at all times in good working order, safe to use under normal conditions and is sui</w:t>
      </w:r>
      <w:r>
        <w:t>table for its intended purpose.</w:t>
      </w:r>
    </w:p>
    <w:p w:rsidR="00601851" w:rsidRPr="00402236" w:rsidRDefault="00601851" w:rsidP="00F3029A">
      <w:pPr>
        <w:ind w:left="1440"/>
        <w:rPr>
          <w:b/>
        </w:rPr>
      </w:pPr>
      <w:r w:rsidRPr="008952ED">
        <w:rPr>
          <w:b/>
        </w:rPr>
        <w:t>Servic</w:t>
      </w:r>
      <w:r w:rsidRPr="00402236">
        <w:rPr>
          <w:b/>
        </w:rPr>
        <w:t>e</w:t>
      </w:r>
      <w:r w:rsidR="00402236" w:rsidRPr="00402236">
        <w:rPr>
          <w:b/>
        </w:rPr>
        <w:t>:</w:t>
      </w:r>
      <w:r w:rsidR="00402236">
        <w:rPr>
          <w:b/>
        </w:rPr>
        <w:t xml:space="preserve"> </w:t>
      </w:r>
      <w:r>
        <w:t xml:space="preserve">Preventative maintenance is to be outlined and response times identified in your proposal. </w:t>
      </w:r>
    </w:p>
    <w:p w:rsidR="00402236" w:rsidRDefault="006B47B0" w:rsidP="00402236">
      <w:pPr>
        <w:ind w:left="1440"/>
      </w:pPr>
      <w:r>
        <w:rPr>
          <w:b/>
        </w:rPr>
        <w:t>Delivery</w:t>
      </w:r>
      <w:r w:rsidR="00402236" w:rsidRPr="00402236">
        <w:rPr>
          <w:b/>
        </w:rPr>
        <w:t>:</w:t>
      </w:r>
      <w:r w:rsidR="00402236">
        <w:t xml:space="preserve"> Vendors must be able to service all SGC properties as well as submit delivery frequency and lead times for all locations to include SNRC, SBCC, and SARC. </w:t>
      </w:r>
    </w:p>
    <w:p w:rsidR="00402236" w:rsidRDefault="00402236" w:rsidP="00402236">
      <w:pPr>
        <w:ind w:left="1440"/>
      </w:pPr>
      <w:r>
        <w:t>All shipments must be palletized based on the following:</w:t>
      </w:r>
    </w:p>
    <w:p w:rsidR="00402236" w:rsidRDefault="00402236" w:rsidP="00402236">
      <w:pPr>
        <w:pStyle w:val="ListParagraph"/>
        <w:numPr>
          <w:ilvl w:val="0"/>
          <w:numId w:val="11"/>
        </w:numPr>
      </w:pPr>
      <w:r>
        <w:t>Standard 48” x 40” pallets or smaller</w:t>
      </w:r>
    </w:p>
    <w:p w:rsidR="00402236" w:rsidRDefault="00402236" w:rsidP="00402236">
      <w:pPr>
        <w:pStyle w:val="ListParagraph"/>
        <w:numPr>
          <w:ilvl w:val="0"/>
          <w:numId w:val="11"/>
        </w:numPr>
      </w:pPr>
      <w:r>
        <w:t>Items cannot overhang the edges of the pallets</w:t>
      </w:r>
    </w:p>
    <w:p w:rsidR="00402236" w:rsidRDefault="00402236" w:rsidP="00402236">
      <w:pPr>
        <w:pStyle w:val="ListParagraph"/>
        <w:numPr>
          <w:ilvl w:val="0"/>
          <w:numId w:val="11"/>
        </w:numPr>
      </w:pPr>
      <w:r>
        <w:t>All pallets must be shrink-wrapped</w:t>
      </w:r>
    </w:p>
    <w:p w:rsidR="00402236" w:rsidRDefault="00402236" w:rsidP="00402236">
      <w:pPr>
        <w:pStyle w:val="ListParagraph"/>
        <w:numPr>
          <w:ilvl w:val="0"/>
          <w:numId w:val="11"/>
        </w:numPr>
      </w:pPr>
      <w:r>
        <w:t>All pallets cannot exceed 72” high – including the pallet</w:t>
      </w:r>
    </w:p>
    <w:p w:rsidR="00402236" w:rsidRDefault="00402236" w:rsidP="00402236">
      <w:pPr>
        <w:pStyle w:val="ListParagraph"/>
        <w:numPr>
          <w:ilvl w:val="0"/>
          <w:numId w:val="11"/>
        </w:numPr>
      </w:pPr>
      <w:r>
        <w:lastRenderedPageBreak/>
        <w:t>Only pallets with no center support or one (1) support are acceptable</w:t>
      </w:r>
    </w:p>
    <w:p w:rsidR="00402236" w:rsidRDefault="00402236" w:rsidP="00402236">
      <w:pPr>
        <w:pStyle w:val="ListParagraph"/>
        <w:numPr>
          <w:ilvl w:val="0"/>
          <w:numId w:val="11"/>
        </w:numPr>
      </w:pPr>
      <w:r>
        <w:t>All pallets must be loaded straight forward in trucks – no side loading</w:t>
      </w:r>
    </w:p>
    <w:p w:rsidR="00402236" w:rsidRDefault="00402236" w:rsidP="00402236">
      <w:pPr>
        <w:pStyle w:val="ListParagraph"/>
        <w:numPr>
          <w:ilvl w:val="0"/>
          <w:numId w:val="11"/>
        </w:numPr>
      </w:pPr>
      <w:r>
        <w:t>Non-compliant shipments will be returned at the vendor’s expense</w:t>
      </w:r>
    </w:p>
    <w:p w:rsidR="00402236" w:rsidRDefault="00601851" w:rsidP="00402236">
      <w:pPr>
        <w:ind w:left="1440"/>
      </w:pPr>
      <w:r w:rsidRPr="008952ED">
        <w:rPr>
          <w:b/>
        </w:rPr>
        <w:t>Vendor Communication</w:t>
      </w:r>
      <w:r w:rsidR="00402236">
        <w:rPr>
          <w:b/>
        </w:rPr>
        <w:t xml:space="preserve">: </w:t>
      </w:r>
      <w:r w:rsidR="003202E7" w:rsidRPr="003202E7">
        <w:t>P</w:t>
      </w:r>
      <w:r w:rsidR="003202E7">
        <w:t xml:space="preserve">lease provide a proposed </w:t>
      </w:r>
      <w:r w:rsidR="003202E7" w:rsidRPr="003202E7">
        <w:t>communication plan that addresses the following topics:</w:t>
      </w:r>
    </w:p>
    <w:p w:rsidR="00402236" w:rsidRPr="003202E7" w:rsidRDefault="003202E7" w:rsidP="003202E7">
      <w:pPr>
        <w:pStyle w:val="ListParagraph"/>
        <w:numPr>
          <w:ilvl w:val="0"/>
          <w:numId w:val="10"/>
        </w:numPr>
      </w:pPr>
      <w:r w:rsidRPr="003202E7">
        <w:t>Bi-annual meeting/review – what will this entail, data, market watch etc.</w:t>
      </w:r>
    </w:p>
    <w:p w:rsidR="008952ED" w:rsidRPr="003202E7" w:rsidRDefault="008952ED" w:rsidP="003202E7">
      <w:pPr>
        <w:pStyle w:val="ListParagraph"/>
        <w:numPr>
          <w:ilvl w:val="0"/>
          <w:numId w:val="10"/>
        </w:numPr>
      </w:pPr>
      <w:r w:rsidRPr="003202E7">
        <w:t>New products/Variety change</w:t>
      </w:r>
      <w:r w:rsidR="003202E7">
        <w:t xml:space="preserve"> – share innovative products</w:t>
      </w:r>
      <w:r w:rsidR="003804B7">
        <w:t xml:space="preserve"> and</w:t>
      </w:r>
      <w:r w:rsidR="003202E7" w:rsidRPr="003202E7">
        <w:t xml:space="preserve"> suggest smart product changes where we are not achieving maximum</w:t>
      </w:r>
      <w:r w:rsidR="003804B7">
        <w:t xml:space="preserve"> buy/sell potential</w:t>
      </w:r>
      <w:r w:rsidR="003202E7" w:rsidRPr="003202E7">
        <w:t>.</w:t>
      </w:r>
    </w:p>
    <w:p w:rsidR="008952ED" w:rsidRPr="003202E7" w:rsidRDefault="008952ED" w:rsidP="003202E7">
      <w:pPr>
        <w:pStyle w:val="ListParagraph"/>
        <w:numPr>
          <w:ilvl w:val="0"/>
          <w:numId w:val="10"/>
        </w:numPr>
      </w:pPr>
      <w:r w:rsidRPr="003202E7">
        <w:t xml:space="preserve">Revenue generating/Savings </w:t>
      </w:r>
      <w:r w:rsidR="00402236" w:rsidRPr="003202E7">
        <w:t>Ideas</w:t>
      </w:r>
      <w:r w:rsidR="003202E7" w:rsidRPr="003202E7">
        <w:t xml:space="preserve"> – discuss how you will commit to helping SGC cut costs while not reducing quality.</w:t>
      </w:r>
    </w:p>
    <w:p w:rsidR="00402236" w:rsidRDefault="008952ED" w:rsidP="00402236">
      <w:pPr>
        <w:pStyle w:val="ListParagraph"/>
        <w:numPr>
          <w:ilvl w:val="0"/>
          <w:numId w:val="10"/>
        </w:numPr>
      </w:pPr>
      <w:r>
        <w:t>Equipment changes/upgrades</w:t>
      </w:r>
    </w:p>
    <w:p w:rsidR="00402236" w:rsidRDefault="00402236" w:rsidP="00402236">
      <w:pPr>
        <w:ind w:left="1440"/>
      </w:pPr>
      <w:r w:rsidRPr="00C14DC4">
        <w:rPr>
          <w:b/>
        </w:rPr>
        <w:t>Emergency Plan:</w:t>
      </w:r>
      <w:r>
        <w:t xml:space="preserve"> The Vendor must provide SGC, in writing, an emergency plan for shipping errors, shortages, weather related emergencies and emergency deliveries. This plan should allow for same day deliveries if emergency orders are called in before noon. </w:t>
      </w:r>
    </w:p>
    <w:p w:rsidR="00402236" w:rsidRDefault="00402236" w:rsidP="00402236">
      <w:pPr>
        <w:ind w:left="1440"/>
      </w:pPr>
      <w:r>
        <w:rPr>
          <w:b/>
        </w:rPr>
        <w:t xml:space="preserve">Recall/Credit Policy: </w:t>
      </w:r>
      <w:r>
        <w:t>Bidders are to provide a copy of their current policy.</w:t>
      </w:r>
    </w:p>
    <w:p w:rsidR="008952ED" w:rsidRPr="008952ED" w:rsidRDefault="00402236" w:rsidP="00F838FF">
      <w:pPr>
        <w:pStyle w:val="ListParagraph"/>
        <w:numPr>
          <w:ilvl w:val="0"/>
          <w:numId w:val="13"/>
        </w:numPr>
      </w:pPr>
      <w:r>
        <w:t>The Vendor is required to immediately contact and advise the assigned Purchasing representative of any [and forward all] national, state, or local Health Department, Food Safety and Inspection Service/USDA/FDA food borne pathogen/agent advisories, Class I and/or Class II recalls or Center for Disease Control (CDC) alerts [as they become aware of them] relating to products they (have) provide (d) for the term of the contract.</w:t>
      </w:r>
    </w:p>
    <w:p w:rsidR="00E96538" w:rsidRPr="00342236" w:rsidRDefault="00E96538" w:rsidP="00E96538">
      <w:pPr>
        <w:pStyle w:val="Heading2"/>
        <w:rPr>
          <w:rFonts w:eastAsia="Times New Roman"/>
        </w:rPr>
      </w:pPr>
      <w:bookmarkStart w:id="18" w:name="_Toc65244834"/>
      <w:r w:rsidRPr="00342236">
        <w:rPr>
          <w:rFonts w:eastAsia="Times New Roman"/>
        </w:rPr>
        <w:t>Pricing and Payment Terms</w:t>
      </w:r>
      <w:bookmarkEnd w:id="18"/>
    </w:p>
    <w:p w:rsidR="00E96538" w:rsidRDefault="00E96538" w:rsidP="00E96538">
      <w:pPr>
        <w:ind w:left="720" w:firstLine="720"/>
      </w:pPr>
      <w:r w:rsidRPr="00961C9F">
        <w:t xml:space="preserve">Please provide your most competitive pricing and any additional offers. </w:t>
      </w:r>
    </w:p>
    <w:p w:rsidR="00601851" w:rsidRDefault="00601851" w:rsidP="00601851">
      <w:pPr>
        <w:ind w:left="1440"/>
      </w:pPr>
      <w:r>
        <w:t xml:space="preserve">Support funds, marketing funds, charities, donations, and rebates should all be removed from proposals so pricing reflected is the lowest unit cost available to SGC. </w:t>
      </w:r>
    </w:p>
    <w:p w:rsidR="00601851" w:rsidRDefault="00601851" w:rsidP="00601851">
      <w:pPr>
        <w:ind w:left="1440"/>
      </w:pPr>
      <w:r>
        <w:t>Freight should be included in your pricing.</w:t>
      </w:r>
    </w:p>
    <w:p w:rsidR="00E96538" w:rsidRPr="002E0C14" w:rsidRDefault="00E96538" w:rsidP="00E96538">
      <w:pPr>
        <w:pStyle w:val="Heading2"/>
      </w:pPr>
      <w:bookmarkStart w:id="19" w:name="_Toc65244835"/>
      <w:r>
        <w:t>Price Escalation</w:t>
      </w:r>
      <w:bookmarkEnd w:id="19"/>
    </w:p>
    <w:p w:rsidR="00E96538" w:rsidRPr="00DB0B28" w:rsidRDefault="00E96538" w:rsidP="00205CB2">
      <w:pPr>
        <w:widowControl w:val="0"/>
        <w:kinsoku w:val="0"/>
        <w:spacing w:line="240" w:lineRule="auto"/>
        <w:ind w:left="1440"/>
        <w:jc w:val="both"/>
        <w:rPr>
          <w:rFonts w:eastAsia="Times New Roman" w:cstheme="minorHAnsi"/>
        </w:rPr>
      </w:pPr>
      <w:r w:rsidRPr="00DB0B28">
        <w:rPr>
          <w:rFonts w:eastAsia="Times New Roman" w:cstheme="minorHAnsi"/>
        </w:rPr>
        <w:t>Prices are fixed during the first year of the contract term. Thereafter, they may be increased on a yearly basis, once only per year, effective as of the anniversary of each contract year, by an amount equal to the lesser of (i) the percentage change over the preceding year in the Consumer Price Index – All Urban Consumers - published by the United States Department of Labor, Bureau of Labor Statistics (or in the event of discontinuance of the publication of such index, the closest available index); or (ii) three percent (3%).</w:t>
      </w:r>
    </w:p>
    <w:p w:rsidR="00E96538" w:rsidRDefault="00E96538" w:rsidP="00E96538">
      <w:pPr>
        <w:pStyle w:val="Heading2"/>
        <w:rPr>
          <w:shd w:val="clear" w:color="auto" w:fill="FFFFFF"/>
        </w:rPr>
      </w:pPr>
      <w:bookmarkStart w:id="20" w:name="_Toc65244836"/>
      <w:r>
        <w:rPr>
          <w:shd w:val="clear" w:color="auto" w:fill="FFFFFF"/>
        </w:rPr>
        <w:t>Order Management</w:t>
      </w:r>
      <w:bookmarkEnd w:id="20"/>
    </w:p>
    <w:p w:rsidR="00E96538" w:rsidRDefault="00E96538" w:rsidP="00E96538">
      <w:pPr>
        <w:pStyle w:val="Heading3"/>
        <w:rPr>
          <w:shd w:val="clear" w:color="auto" w:fill="FFFFFF"/>
        </w:rPr>
      </w:pPr>
      <w:bookmarkStart w:id="21" w:name="_Toc65244837"/>
      <w:r>
        <w:rPr>
          <w:shd w:val="clear" w:color="auto" w:fill="FFFFFF"/>
        </w:rPr>
        <w:t>Electronic Order Interface</w:t>
      </w:r>
      <w:bookmarkEnd w:id="21"/>
      <w:r w:rsidR="00470E46">
        <w:rPr>
          <w:shd w:val="clear" w:color="auto" w:fill="FFFFFF"/>
        </w:rPr>
        <w:t xml:space="preserve"> </w:t>
      </w:r>
    </w:p>
    <w:p w:rsidR="00E96538" w:rsidRPr="00B75882" w:rsidRDefault="00B75882" w:rsidP="00E96538">
      <w:pPr>
        <w:ind w:left="2160"/>
        <w:rPr>
          <w:i/>
          <w:u w:val="single"/>
          <w:shd w:val="clear" w:color="auto" w:fill="FFFFFF"/>
        </w:rPr>
      </w:pPr>
      <w:r>
        <w:rPr>
          <w:i/>
          <w:shd w:val="clear" w:color="auto" w:fill="FFFFFF"/>
        </w:rPr>
        <w:t>SGC’s preference is that</w:t>
      </w:r>
      <w:r w:rsidR="00E96538" w:rsidRPr="00B75882">
        <w:rPr>
          <w:i/>
          <w:shd w:val="clear" w:color="auto" w:fill="FFFFFF"/>
        </w:rPr>
        <w:t xml:space="preserve"> Electr</w:t>
      </w:r>
      <w:r>
        <w:rPr>
          <w:i/>
          <w:shd w:val="clear" w:color="auto" w:fill="FFFFFF"/>
        </w:rPr>
        <w:t>onic Data Interchange (EDI)</w:t>
      </w:r>
      <w:r w:rsidR="00E96538" w:rsidRPr="00B75882">
        <w:rPr>
          <w:i/>
          <w:shd w:val="clear" w:color="auto" w:fill="FFFFFF"/>
        </w:rPr>
        <w:t xml:space="preserve"> be the primary protocol for exchanging order and</w:t>
      </w:r>
      <w:r>
        <w:rPr>
          <w:i/>
          <w:shd w:val="clear" w:color="auto" w:fill="FFFFFF"/>
        </w:rPr>
        <w:t xml:space="preserve"> pricing information</w:t>
      </w:r>
      <w:r w:rsidR="00E96538" w:rsidRPr="00B75882">
        <w:rPr>
          <w:i/>
          <w:shd w:val="clear" w:color="auto" w:fill="FFFFFF"/>
        </w:rPr>
        <w:t>.</w:t>
      </w:r>
      <w:r>
        <w:rPr>
          <w:i/>
          <w:shd w:val="clear" w:color="auto" w:fill="FFFFFF"/>
        </w:rPr>
        <w:t xml:space="preserve">  At minimum, Bidder </w:t>
      </w:r>
      <w:r>
        <w:rPr>
          <w:i/>
          <w:shd w:val="clear" w:color="auto" w:fill="FFFFFF"/>
        </w:rPr>
        <w:lastRenderedPageBreak/>
        <w:t>would need to</w:t>
      </w:r>
      <w:r w:rsidR="00E96538" w:rsidRPr="00B75882">
        <w:rPr>
          <w:i/>
          <w:shd w:val="clear" w:color="auto" w:fill="FFFFFF"/>
        </w:rPr>
        <w:t xml:space="preserve"> support the EDI X12 standard file exchange for price Guide (832)</w:t>
      </w:r>
      <w:r>
        <w:rPr>
          <w:i/>
          <w:shd w:val="clear" w:color="auto" w:fill="FFFFFF"/>
        </w:rPr>
        <w:t xml:space="preserve">, PO (850), PO Acknowledgement </w:t>
      </w:r>
      <w:r w:rsidR="00E96538" w:rsidRPr="00B75882">
        <w:rPr>
          <w:i/>
          <w:shd w:val="clear" w:color="auto" w:fill="FFFFFF"/>
        </w:rPr>
        <w:t>(855) and Functional Acknowledgement (997).</w:t>
      </w:r>
    </w:p>
    <w:p w:rsidR="00E96538" w:rsidRPr="00E96538" w:rsidRDefault="00E96538" w:rsidP="00E96538">
      <w:pPr>
        <w:pStyle w:val="Heading3"/>
      </w:pPr>
      <w:bookmarkStart w:id="22" w:name="_Toc65244838"/>
      <w:r w:rsidRPr="00E96538">
        <w:t>Product Identifier Cross-Reference Maintenance</w:t>
      </w:r>
      <w:bookmarkEnd w:id="22"/>
    </w:p>
    <w:p w:rsidR="00E96538" w:rsidRPr="00B75882" w:rsidRDefault="00B75882" w:rsidP="00E96538">
      <w:pPr>
        <w:spacing w:after="120" w:line="252" w:lineRule="auto"/>
        <w:ind w:left="2160"/>
        <w:jc w:val="both"/>
        <w:rPr>
          <w:rFonts w:cstheme="minorHAnsi"/>
          <w:i/>
          <w:shd w:val="clear" w:color="auto" w:fill="FFFFFF"/>
        </w:rPr>
      </w:pPr>
      <w:r>
        <w:rPr>
          <w:rFonts w:cstheme="minorHAnsi"/>
          <w:i/>
          <w:shd w:val="clear" w:color="auto" w:fill="FFFFFF"/>
        </w:rPr>
        <w:t>Bidder would</w:t>
      </w:r>
      <w:r w:rsidR="00E96538" w:rsidRPr="00B75882">
        <w:rPr>
          <w:rFonts w:cstheme="minorHAnsi"/>
          <w:i/>
          <w:shd w:val="clear" w:color="auto" w:fill="FFFFFF"/>
        </w:rPr>
        <w:t xml:space="preserve"> be responsible for mapping and maintaining item cross-references between its product catalog and SGC’s item master, at no cost to SGC.</w:t>
      </w:r>
    </w:p>
    <w:p w:rsidR="00E96538" w:rsidRPr="00961C9F" w:rsidRDefault="00E96538" w:rsidP="00E96538">
      <w:pPr>
        <w:pStyle w:val="Heading2"/>
        <w:rPr>
          <w:rFonts w:eastAsia="Times New Roman"/>
        </w:rPr>
      </w:pPr>
      <w:bookmarkStart w:id="23" w:name="_Toc65244839"/>
      <w:r w:rsidRPr="00961C9F">
        <w:rPr>
          <w:rFonts w:eastAsia="Times New Roman"/>
        </w:rPr>
        <w:t>Tax Exempt Status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4" w:name="_Toc65244840"/>
      <w:r w:rsidRPr="00961C9F">
        <w:rPr>
          <w:rFonts w:eastAsia="Times New Roman"/>
        </w:rPr>
        <w:t>Payment Terms</w:t>
      </w:r>
      <w:bookmarkEnd w:id="24"/>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5" w:name="_Toc65244841"/>
      <w:r>
        <w:rPr>
          <w:rFonts w:eastAsia="Times New Roman"/>
        </w:rPr>
        <w:t>Supplemental Bidder Information</w:t>
      </w:r>
      <w:bookmarkEnd w:id="25"/>
    </w:p>
    <w:p w:rsidR="00E96538" w:rsidRPr="00961C9F" w:rsidRDefault="00E96538" w:rsidP="00E96538">
      <w:pPr>
        <w:pStyle w:val="Heading2"/>
        <w:rPr>
          <w:rFonts w:eastAsia="Times New Roman"/>
        </w:rPr>
      </w:pPr>
      <w:bookmarkStart w:id="26" w:name="_Toc65244842"/>
      <w:r w:rsidRPr="00961C9F">
        <w:rPr>
          <w:rFonts w:eastAsia="Times New Roman"/>
        </w:rPr>
        <w:t>Business Continuity</w:t>
      </w:r>
      <w:bookmarkEnd w:id="26"/>
    </w:p>
    <w:p w:rsidR="00E96538" w:rsidRPr="00205CB2" w:rsidRDefault="00E96538" w:rsidP="00E96538">
      <w:pPr>
        <w:spacing w:after="120" w:line="240" w:lineRule="auto"/>
        <w:ind w:left="1440"/>
        <w:jc w:val="both"/>
        <w:rPr>
          <w:rFonts w:eastAsia="Times New Roman" w:cstheme="minorHAnsi"/>
          <w:b/>
        </w:rPr>
      </w:pPr>
      <w:r w:rsidRPr="00205CB2">
        <w:rPr>
          <w:rFonts w:eastAsia="Times New Roman" w:cstheme="minorHAnsi"/>
        </w:rPr>
        <w:t>For RFP’s involving strategic commodities/services, provide an overview of your disaster recovery/business continuity plan (the “Plan”).  The Plan indicates how Bidder minimizes the risk of interruption to Bidder’s ability to provide the goods and/or services contemplated in this RFP in the event of specified occurrence ; Bidder’s critical supplier strategy to ensure continuity of suppliers in such event; and Bidders  process or criteria for prioritizing customer demands during a crisis.</w:t>
      </w:r>
    </w:p>
    <w:p w:rsidR="00E96538" w:rsidRPr="00961C9F" w:rsidRDefault="00E96538" w:rsidP="00E96538">
      <w:pPr>
        <w:pStyle w:val="Heading2"/>
        <w:rPr>
          <w:rFonts w:eastAsia="Times New Roman"/>
        </w:rPr>
      </w:pPr>
      <w:bookmarkStart w:id="27" w:name="_Toc65244843"/>
      <w:r w:rsidRPr="00961C9F">
        <w:rPr>
          <w:rFonts w:eastAsia="Times New Roman"/>
        </w:rPr>
        <w:t>Conformity of Proposal with SGC Requirements</w:t>
      </w:r>
      <w:bookmarkEnd w:id="27"/>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8" w:name="_Toc65244844"/>
      <w:r w:rsidRPr="00961C9F">
        <w:rPr>
          <w:rFonts w:eastAsia="Times New Roman"/>
        </w:rPr>
        <w:t>Vendor Requirements</w:t>
      </w:r>
      <w:bookmarkEnd w:id="28"/>
    </w:p>
    <w:p w:rsidR="00E96538" w:rsidRPr="00961C9F" w:rsidRDefault="00E96538" w:rsidP="00E96538">
      <w:pPr>
        <w:pStyle w:val="Heading2"/>
        <w:rPr>
          <w:rFonts w:eastAsia="Times New Roman"/>
        </w:rPr>
      </w:pPr>
      <w:bookmarkStart w:id="29" w:name="_Toc65244845"/>
      <w:r w:rsidRPr="00961C9F">
        <w:rPr>
          <w:rFonts w:eastAsia="Times New Roman"/>
        </w:rPr>
        <w:t>Proposal</w:t>
      </w:r>
      <w:bookmarkEnd w:id="29"/>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30" w:name="_Toc65244846"/>
      <w:r w:rsidRPr="00961C9F">
        <w:rPr>
          <w:rFonts w:eastAsia="Times New Roman"/>
        </w:rPr>
        <w:t>Standard Supply Agreement</w:t>
      </w:r>
      <w:bookmarkEnd w:id="30"/>
    </w:p>
    <w:p w:rsidR="00543C3E" w:rsidRDefault="00E96538" w:rsidP="00812D52">
      <w:pPr>
        <w:autoSpaceDE w:val="0"/>
        <w:autoSpaceDN w:val="0"/>
        <w:adjustRightInd w:val="0"/>
        <w:spacing w:after="120" w:line="240" w:lineRule="auto"/>
        <w:ind w:left="1440"/>
        <w:jc w:val="both"/>
        <w:rPr>
          <w:rFonts w:eastAsia="Times New Roman" w:cstheme="minorHAnsi"/>
        </w:rPr>
      </w:pPr>
      <w:r w:rsidRPr="00205CB2">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F838FF" w:rsidRDefault="00F838FF" w:rsidP="00812D52">
      <w:pPr>
        <w:autoSpaceDE w:val="0"/>
        <w:autoSpaceDN w:val="0"/>
        <w:adjustRightInd w:val="0"/>
        <w:spacing w:after="120" w:line="240" w:lineRule="auto"/>
        <w:ind w:left="1440"/>
        <w:jc w:val="both"/>
        <w:rPr>
          <w:rFonts w:eastAsia="Times New Roman" w:cstheme="minorHAnsi"/>
        </w:rPr>
      </w:pPr>
    </w:p>
    <w:p w:rsidR="00F838FF" w:rsidRDefault="00F838FF" w:rsidP="00812D52">
      <w:pPr>
        <w:autoSpaceDE w:val="0"/>
        <w:autoSpaceDN w:val="0"/>
        <w:adjustRightInd w:val="0"/>
        <w:spacing w:after="120" w:line="240" w:lineRule="auto"/>
        <w:ind w:left="1440"/>
        <w:jc w:val="both"/>
        <w:rPr>
          <w:rFonts w:eastAsia="Times New Roman" w:cstheme="minorHAnsi"/>
        </w:rPr>
      </w:pPr>
    </w:p>
    <w:p w:rsidR="00402236" w:rsidRPr="00402236" w:rsidRDefault="00402236" w:rsidP="00402236">
      <w:pPr>
        <w:pStyle w:val="Heading1"/>
        <w:rPr>
          <w:rFonts w:eastAsia="Times New Roman"/>
          <w:highlight w:val="yellow"/>
        </w:rPr>
      </w:pPr>
      <w:bookmarkStart w:id="31" w:name="_Toc56158889"/>
      <w:bookmarkStart w:id="32" w:name="_Toc65244847"/>
      <w:r w:rsidRPr="00402236">
        <w:rPr>
          <w:rFonts w:eastAsia="Times New Roman"/>
          <w:highlight w:val="yellow"/>
        </w:rPr>
        <w:lastRenderedPageBreak/>
        <w:t>Bid Submittal Checklist</w:t>
      </w:r>
      <w:bookmarkEnd w:id="31"/>
      <w:bookmarkEnd w:id="32"/>
    </w:p>
    <w:p w:rsidR="00402236" w:rsidRPr="00995453" w:rsidRDefault="00402236" w:rsidP="00402236">
      <w:pPr>
        <w:pStyle w:val="ListParagraph"/>
        <w:numPr>
          <w:ilvl w:val="0"/>
          <w:numId w:val="13"/>
        </w:numPr>
      </w:pPr>
      <w:r w:rsidRPr="00995453">
        <w:t>Company Overview</w:t>
      </w:r>
    </w:p>
    <w:p w:rsidR="00402236" w:rsidRPr="00995453" w:rsidRDefault="00402236" w:rsidP="00402236">
      <w:pPr>
        <w:pStyle w:val="ListParagraph"/>
        <w:numPr>
          <w:ilvl w:val="0"/>
          <w:numId w:val="13"/>
        </w:numPr>
      </w:pPr>
      <w:r w:rsidRPr="00995453">
        <w:t>References</w:t>
      </w:r>
    </w:p>
    <w:p w:rsidR="00402236" w:rsidRPr="00995453" w:rsidRDefault="00402236" w:rsidP="00402236">
      <w:pPr>
        <w:pStyle w:val="ListParagraph"/>
        <w:numPr>
          <w:ilvl w:val="0"/>
          <w:numId w:val="13"/>
        </w:numPr>
      </w:pPr>
      <w:r w:rsidRPr="00995453">
        <w:t xml:space="preserve">Executive Summary </w:t>
      </w:r>
    </w:p>
    <w:p w:rsidR="00DB0B28" w:rsidRDefault="00DB0B28" w:rsidP="00995453">
      <w:pPr>
        <w:pStyle w:val="ListParagraph"/>
        <w:numPr>
          <w:ilvl w:val="0"/>
          <w:numId w:val="13"/>
        </w:numPr>
      </w:pPr>
      <w:r>
        <w:t>Outline of Preventative Maintenance Plan and lead times</w:t>
      </w:r>
    </w:p>
    <w:p w:rsidR="00995453" w:rsidRDefault="00995453" w:rsidP="00995453">
      <w:pPr>
        <w:pStyle w:val="ListParagraph"/>
        <w:numPr>
          <w:ilvl w:val="0"/>
          <w:numId w:val="13"/>
        </w:numPr>
      </w:pPr>
      <w:r>
        <w:t>Vendor Communication Plan</w:t>
      </w:r>
    </w:p>
    <w:p w:rsidR="00402236" w:rsidRPr="00995453" w:rsidRDefault="00402236" w:rsidP="00995453">
      <w:pPr>
        <w:pStyle w:val="ListParagraph"/>
        <w:numPr>
          <w:ilvl w:val="0"/>
          <w:numId w:val="13"/>
        </w:numPr>
      </w:pPr>
      <w:r w:rsidRPr="00995453">
        <w:t>Emergency Plan</w:t>
      </w:r>
    </w:p>
    <w:p w:rsidR="00402236" w:rsidRPr="00995453" w:rsidRDefault="00402236" w:rsidP="00995453">
      <w:pPr>
        <w:pStyle w:val="ListParagraph"/>
        <w:numPr>
          <w:ilvl w:val="0"/>
          <w:numId w:val="13"/>
        </w:numPr>
      </w:pPr>
      <w:r w:rsidRPr="00995453">
        <w:t>Recall/Credit Policy</w:t>
      </w:r>
    </w:p>
    <w:p w:rsidR="00402236" w:rsidRPr="00995453" w:rsidRDefault="008430BF" w:rsidP="00402236">
      <w:pPr>
        <w:pStyle w:val="ListParagraph"/>
        <w:numPr>
          <w:ilvl w:val="0"/>
          <w:numId w:val="13"/>
        </w:numPr>
      </w:pPr>
      <w:r>
        <w:t>Completed</w:t>
      </w:r>
      <w:r w:rsidR="00402236" w:rsidRPr="00995453">
        <w:t xml:space="preserve"> Companion Document s</w:t>
      </w:r>
      <w:r w:rsidR="00995453" w:rsidRPr="00995453">
        <w:t>preadsheet</w:t>
      </w:r>
    </w:p>
    <w:p w:rsidR="00402236" w:rsidRPr="00995453" w:rsidRDefault="00402236" w:rsidP="00402236">
      <w:pPr>
        <w:pStyle w:val="ListParagraph"/>
        <w:numPr>
          <w:ilvl w:val="0"/>
          <w:numId w:val="13"/>
        </w:numPr>
      </w:pPr>
      <w:r w:rsidRPr="00995453">
        <w:t>Evidence of current insurance</w:t>
      </w:r>
    </w:p>
    <w:p w:rsidR="00402236" w:rsidRPr="00995453" w:rsidRDefault="008430BF" w:rsidP="00402236">
      <w:pPr>
        <w:pStyle w:val="ListParagraph"/>
        <w:numPr>
          <w:ilvl w:val="0"/>
          <w:numId w:val="13"/>
        </w:numPr>
      </w:pPr>
      <w:r>
        <w:t>Complete</w:t>
      </w:r>
      <w:r w:rsidR="00995453" w:rsidRPr="00995453">
        <w:t xml:space="preserve"> </w:t>
      </w:r>
      <w:r w:rsidR="00402236" w:rsidRPr="00995453">
        <w:t>Section VIII Bidder Cer</w:t>
      </w:r>
      <w:r w:rsidR="00995453" w:rsidRPr="00995453">
        <w:t>tifications and Representations</w:t>
      </w:r>
    </w:p>
    <w:p w:rsidR="00E96538" w:rsidRPr="00402236" w:rsidRDefault="00E96538" w:rsidP="00402236">
      <w:pPr>
        <w:autoSpaceDE w:val="0"/>
        <w:autoSpaceDN w:val="0"/>
        <w:adjustRightInd w:val="0"/>
        <w:spacing w:after="120" w:line="240" w:lineRule="auto"/>
        <w:ind w:left="1440"/>
        <w:jc w:val="both"/>
        <w:rPr>
          <w:rFonts w:eastAsia="Times New Roman" w:cstheme="minorHAnsi"/>
        </w:rPr>
      </w:pPr>
      <w:r>
        <w:rPr>
          <w:rFonts w:eastAsia="Times New Roman"/>
        </w:rPr>
        <w:br w:type="page"/>
      </w:r>
    </w:p>
    <w:p w:rsidR="00E96538" w:rsidRDefault="00E96538" w:rsidP="00E96538">
      <w:pPr>
        <w:pStyle w:val="Heading1"/>
        <w:rPr>
          <w:rFonts w:eastAsia="Times New Roman"/>
        </w:rPr>
      </w:pPr>
      <w:bookmarkStart w:id="33" w:name="_Toc65244848"/>
      <w:r>
        <w:rPr>
          <w:rFonts w:eastAsia="Times New Roman"/>
        </w:rPr>
        <w:lastRenderedPageBreak/>
        <w:t xml:space="preserve">Bidder </w:t>
      </w:r>
      <w:r w:rsidRPr="0034489C">
        <w:rPr>
          <w:rFonts w:eastAsia="Times New Roman"/>
        </w:rPr>
        <w:t>Cert</w:t>
      </w:r>
      <w:r>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52" w:rsidRDefault="00812D52">
      <w:pPr>
        <w:spacing w:after="0" w:line="240" w:lineRule="auto"/>
      </w:pPr>
      <w:r>
        <w:separator/>
      </w:r>
    </w:p>
  </w:endnote>
  <w:endnote w:type="continuationSeparator" w:id="0">
    <w:p w:rsidR="00812D52" w:rsidRDefault="0081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812D52" w:rsidRDefault="00812D52"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581E">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52" w:rsidRDefault="00812D52">
      <w:pPr>
        <w:spacing w:after="0" w:line="240" w:lineRule="auto"/>
      </w:pPr>
      <w:r>
        <w:separator/>
      </w:r>
    </w:p>
  </w:footnote>
  <w:footnote w:type="continuationSeparator" w:id="0">
    <w:p w:rsidR="00812D52" w:rsidRDefault="0081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8D2"/>
    <w:multiLevelType w:val="hybridMultilevel"/>
    <w:tmpl w:val="3E6AB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23C3"/>
    <w:multiLevelType w:val="hybridMultilevel"/>
    <w:tmpl w:val="5AAC0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44502A5"/>
    <w:multiLevelType w:val="hybridMultilevel"/>
    <w:tmpl w:val="30046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F7C557F"/>
    <w:multiLevelType w:val="hybridMultilevel"/>
    <w:tmpl w:val="44BE8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D56A03"/>
    <w:multiLevelType w:val="hybridMultilevel"/>
    <w:tmpl w:val="A852C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C1674A"/>
    <w:multiLevelType w:val="hybridMultilevel"/>
    <w:tmpl w:val="ADC86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6"/>
  </w:num>
  <w:num w:numId="6">
    <w:abstractNumId w:val="1"/>
  </w:num>
  <w:num w:numId="7">
    <w:abstractNumId w:val="9"/>
  </w:num>
  <w:num w:numId="8">
    <w:abstractNumId w:val="2"/>
  </w:num>
  <w:num w:numId="9">
    <w:abstractNumId w:val="13"/>
  </w:num>
  <w:num w:numId="10">
    <w:abstractNumId w:val="0"/>
  </w:num>
  <w:num w:numId="11">
    <w:abstractNumId w:val="12"/>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65CEB"/>
    <w:rsid w:val="0007581E"/>
    <w:rsid w:val="00086EB7"/>
    <w:rsid w:val="000A6DD0"/>
    <w:rsid w:val="001147E0"/>
    <w:rsid w:val="00205CB2"/>
    <w:rsid w:val="0023713C"/>
    <w:rsid w:val="00237E51"/>
    <w:rsid w:val="002D7D6A"/>
    <w:rsid w:val="003202E7"/>
    <w:rsid w:val="00346D50"/>
    <w:rsid w:val="00357279"/>
    <w:rsid w:val="003804B7"/>
    <w:rsid w:val="0038276D"/>
    <w:rsid w:val="003921B9"/>
    <w:rsid w:val="003A1897"/>
    <w:rsid w:val="00402236"/>
    <w:rsid w:val="00425D84"/>
    <w:rsid w:val="00456E00"/>
    <w:rsid w:val="00470822"/>
    <w:rsid w:val="00470E46"/>
    <w:rsid w:val="004D32F5"/>
    <w:rsid w:val="004F2163"/>
    <w:rsid w:val="00543C3E"/>
    <w:rsid w:val="005749D9"/>
    <w:rsid w:val="0059768D"/>
    <w:rsid w:val="005D01E9"/>
    <w:rsid w:val="00601851"/>
    <w:rsid w:val="00616BCC"/>
    <w:rsid w:val="006323C1"/>
    <w:rsid w:val="00647CDF"/>
    <w:rsid w:val="00657DEE"/>
    <w:rsid w:val="006754E4"/>
    <w:rsid w:val="006A381D"/>
    <w:rsid w:val="006A4D2A"/>
    <w:rsid w:val="006B47B0"/>
    <w:rsid w:val="006B6B03"/>
    <w:rsid w:val="007425F4"/>
    <w:rsid w:val="007B4253"/>
    <w:rsid w:val="007F794E"/>
    <w:rsid w:val="00812D52"/>
    <w:rsid w:val="00834241"/>
    <w:rsid w:val="008430BF"/>
    <w:rsid w:val="008952ED"/>
    <w:rsid w:val="008A779B"/>
    <w:rsid w:val="00995453"/>
    <w:rsid w:val="009C5DF8"/>
    <w:rsid w:val="009D2F2D"/>
    <w:rsid w:val="00A70C32"/>
    <w:rsid w:val="00A9797F"/>
    <w:rsid w:val="00AF16CA"/>
    <w:rsid w:val="00B04250"/>
    <w:rsid w:val="00B04474"/>
    <w:rsid w:val="00B53199"/>
    <w:rsid w:val="00B75882"/>
    <w:rsid w:val="00BE3659"/>
    <w:rsid w:val="00C35C7E"/>
    <w:rsid w:val="00C60AFF"/>
    <w:rsid w:val="00C83265"/>
    <w:rsid w:val="00DB0B28"/>
    <w:rsid w:val="00E1033B"/>
    <w:rsid w:val="00E96538"/>
    <w:rsid w:val="00EC1ECD"/>
    <w:rsid w:val="00EE6F09"/>
    <w:rsid w:val="00F3029A"/>
    <w:rsid w:val="00F34468"/>
    <w:rsid w:val="00F41BAA"/>
    <w:rsid w:val="00F838FF"/>
    <w:rsid w:val="00F9454C"/>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7F26"/>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table" w:styleId="TableGrid">
    <w:name w:val="Table Grid"/>
    <w:basedOn w:val="TableNormal"/>
    <w:uiPriority w:val="39"/>
    <w:rsid w:val="0039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6749-75DC-48E7-9E43-B9E1491F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Matt Crvelin</cp:lastModifiedBy>
  <cp:revision>31</cp:revision>
  <dcterms:created xsi:type="dcterms:W3CDTF">2020-11-03T16:42:00Z</dcterms:created>
  <dcterms:modified xsi:type="dcterms:W3CDTF">2021-03-04T18:23:00Z</dcterms:modified>
</cp:coreProperties>
</file>